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D184E1">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default"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drawing>
          <wp:anchor distT="0" distB="0" distL="114300" distR="114300" simplePos="0" relativeHeight="251659264" behindDoc="0" locked="0" layoutInCell="1" allowOverlap="1">
            <wp:simplePos x="0" y="0"/>
            <wp:positionH relativeFrom="column">
              <wp:posOffset>-710565</wp:posOffset>
            </wp:positionH>
            <wp:positionV relativeFrom="paragraph">
              <wp:posOffset>73025</wp:posOffset>
            </wp:positionV>
            <wp:extent cx="3307715" cy="1198245"/>
            <wp:effectExtent l="0" t="0" r="0" b="0"/>
            <wp:wrapTopAndBottom/>
            <wp:docPr id="2" name="图片 2" descr="yonkerlogo定稿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yonkerlogo定稿_01"/>
                    <pic:cNvPicPr>
                      <a:picLocks noChangeAspect="1"/>
                    </pic:cNvPicPr>
                  </pic:nvPicPr>
                  <pic:blipFill>
                    <a:blip r:embed="rId5"/>
                    <a:srcRect l="960" t="25604" r="-960" b="23160"/>
                    <a:stretch>
                      <a:fillRect/>
                    </a:stretch>
                  </pic:blipFill>
                  <pic:spPr>
                    <a:xfrm>
                      <a:off x="0" y="0"/>
                      <a:ext cx="3307715" cy="1198245"/>
                    </a:xfrm>
                    <a:prstGeom prst="rect">
                      <a:avLst/>
                    </a:prstGeom>
                  </pic:spPr>
                </pic:pic>
              </a:graphicData>
            </a:graphic>
          </wp:anchor>
        </w:drawing>
      </w:r>
      <w:r>
        <w:rPr>
          <w:rFonts w:hint="eastAsia" w:asciiTheme="minorEastAsia" w:hAnsiTheme="minorEastAsia" w:eastAsiaTheme="minorEastAsia" w:cstheme="minorEastAsia"/>
          <w:b/>
          <w:bCs/>
          <w:color w:val="000000"/>
          <w:kern w:val="0"/>
          <w:sz w:val="48"/>
          <w:szCs w:val="48"/>
          <w:lang w:val="en-US" w:eastAsia="zh-CN" w:bidi="ar"/>
        </w:rPr>
        <w:t xml:space="preserve">  </w:t>
      </w:r>
    </w:p>
    <w:p w14:paraId="08813CEE">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04A1CEE5">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17D2645D">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290C5F08">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t>社会责任报告</w:t>
      </w:r>
    </w:p>
    <w:p w14:paraId="4BB04F6F">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r>
        <w:rPr>
          <w:rFonts w:hint="eastAsia" w:asciiTheme="minorEastAsia" w:hAnsiTheme="minorEastAsia" w:eastAsiaTheme="minorEastAsia" w:cstheme="minorEastAsia"/>
          <w:b/>
          <w:bCs/>
          <w:color w:val="000000"/>
          <w:kern w:val="0"/>
          <w:sz w:val="48"/>
          <w:szCs w:val="48"/>
          <w:lang w:val="en-US" w:eastAsia="zh-CN" w:bidi="ar"/>
        </w:rPr>
        <w:t>（202</w:t>
      </w:r>
      <w:r>
        <w:rPr>
          <w:rFonts w:hint="eastAsia" w:asciiTheme="minorEastAsia" w:hAnsiTheme="minorEastAsia" w:cstheme="minorEastAsia"/>
          <w:b/>
          <w:bCs/>
          <w:color w:val="000000"/>
          <w:kern w:val="0"/>
          <w:sz w:val="48"/>
          <w:szCs w:val="48"/>
          <w:lang w:val="en-US" w:eastAsia="zh-CN" w:bidi="ar"/>
        </w:rPr>
        <w:t>3</w:t>
      </w:r>
      <w:r>
        <w:rPr>
          <w:rFonts w:hint="eastAsia" w:asciiTheme="minorEastAsia" w:hAnsiTheme="minorEastAsia" w:eastAsiaTheme="minorEastAsia" w:cstheme="minorEastAsia"/>
          <w:b/>
          <w:bCs/>
          <w:color w:val="000000"/>
          <w:kern w:val="0"/>
          <w:sz w:val="48"/>
          <w:szCs w:val="48"/>
          <w:lang w:val="en-US" w:eastAsia="zh-CN" w:bidi="ar"/>
        </w:rPr>
        <w:t>年度）</w:t>
      </w:r>
    </w:p>
    <w:p w14:paraId="1E4B0341">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center"/>
        <w:textAlignment w:val="auto"/>
        <w:rPr>
          <w:rFonts w:hint="eastAsia" w:asciiTheme="minorEastAsia" w:hAnsiTheme="minorEastAsia" w:eastAsiaTheme="minorEastAsia" w:cstheme="minorEastAsia"/>
          <w:b/>
          <w:bCs/>
          <w:color w:val="000000"/>
          <w:kern w:val="0"/>
          <w:sz w:val="48"/>
          <w:szCs w:val="48"/>
          <w:lang w:val="en-US" w:eastAsia="zh-CN" w:bidi="ar"/>
        </w:rPr>
      </w:pPr>
    </w:p>
    <w:p w14:paraId="072D1010">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6102836F">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4559CDF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02185A76">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0DB539CB">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bookmarkStart w:id="34" w:name="_GoBack"/>
      <w:bookmarkEnd w:id="34"/>
    </w:p>
    <w:p w14:paraId="0A8CB753">
      <w:pPr>
        <w:keepNext w:val="0"/>
        <w:keepLines w:val="0"/>
        <w:pageBreakBefore w:val="0"/>
        <w:widowControl w:val="0"/>
        <w:kinsoku/>
        <w:wordWrap/>
        <w:overflowPunct/>
        <w:topLinePunct w:val="0"/>
        <w:autoSpaceDE/>
        <w:autoSpaceDN/>
        <w:bidi w:val="0"/>
        <w:adjustRightInd/>
        <w:snapToGrid/>
        <w:textAlignment w:val="auto"/>
        <w:rPr>
          <w:rFonts w:hint="eastAsia" w:ascii="宋体" w:hAnsi="宋体" w:eastAsia="宋体" w:cs="宋体"/>
          <w:b/>
          <w:bCs/>
          <w:sz w:val="36"/>
          <w:szCs w:val="36"/>
        </w:rPr>
      </w:pPr>
    </w:p>
    <w:p w14:paraId="36E2D74D">
      <w:pPr>
        <w:keepNext w:val="0"/>
        <w:keepLines w:val="0"/>
        <w:pageBreakBefore w:val="0"/>
        <w:widowControl w:val="0"/>
        <w:kinsoku/>
        <w:wordWrap/>
        <w:overflowPunct/>
        <w:topLinePunct w:val="0"/>
        <w:autoSpaceDE/>
        <w:autoSpaceDN/>
        <w:bidi w:val="0"/>
        <w:adjustRightInd/>
        <w:snapToGrid/>
        <w:jc w:val="center"/>
        <w:textAlignment w:val="auto"/>
        <w:rPr>
          <w:rFonts w:hint="eastAsia" w:ascii="宋体" w:hAnsi="宋体" w:eastAsia="宋体" w:cs="宋体"/>
          <w:b/>
          <w:bCs/>
          <w:sz w:val="40"/>
          <w:szCs w:val="40"/>
          <w:lang w:val="en-US" w:eastAsia="zh-CN"/>
        </w:rPr>
      </w:pPr>
      <w:r>
        <w:rPr>
          <w:rFonts w:hint="eastAsia" w:ascii="宋体" w:hAnsi="宋体" w:eastAsia="宋体" w:cs="宋体"/>
          <w:b/>
          <w:bCs/>
          <w:sz w:val="40"/>
          <w:szCs w:val="40"/>
          <w:lang w:val="en-US" w:eastAsia="zh-CN"/>
        </w:rPr>
        <w:t>徐州市永康电子科技有限公司</w:t>
      </w:r>
    </w:p>
    <w:p w14:paraId="578C29ED">
      <w:pPr>
        <w:keepNext w:val="0"/>
        <w:keepLines w:val="0"/>
        <w:pageBreakBefore w:val="0"/>
        <w:widowControl w:val="0"/>
        <w:kinsoku/>
        <w:wordWrap/>
        <w:overflowPunct/>
        <w:topLinePunct w:val="0"/>
        <w:autoSpaceDE/>
        <w:autoSpaceDN/>
        <w:bidi w:val="0"/>
        <w:adjustRightInd/>
        <w:snapToGrid/>
        <w:jc w:val="center"/>
        <w:textAlignment w:val="auto"/>
        <w:rPr>
          <w:rFonts w:hint="default" w:ascii="宋体" w:hAnsi="宋体" w:eastAsia="宋体" w:cs="宋体"/>
          <w:b/>
          <w:bCs/>
          <w:sz w:val="40"/>
          <w:szCs w:val="40"/>
          <w:lang w:val="en-US" w:eastAsia="zh-CN"/>
        </w:rPr>
      </w:pPr>
      <w:r>
        <w:rPr>
          <w:rFonts w:hint="eastAsia" w:ascii="宋体" w:hAnsi="宋体" w:eastAsia="宋体" w:cs="宋体"/>
          <w:b/>
          <w:bCs/>
          <w:sz w:val="40"/>
          <w:szCs w:val="40"/>
          <w:lang w:val="en-US" w:eastAsia="zh-CN"/>
        </w:rPr>
        <w:t>202</w:t>
      </w:r>
      <w:r>
        <w:rPr>
          <w:rFonts w:hint="eastAsia" w:ascii="宋体" w:hAnsi="宋体" w:cs="宋体"/>
          <w:b/>
          <w:bCs/>
          <w:sz w:val="40"/>
          <w:szCs w:val="40"/>
          <w:lang w:val="en-US" w:eastAsia="zh-CN"/>
        </w:rPr>
        <w:t>4</w:t>
      </w:r>
      <w:r>
        <w:rPr>
          <w:rFonts w:hint="eastAsia" w:ascii="宋体" w:hAnsi="宋体" w:eastAsia="宋体" w:cs="宋体"/>
          <w:b/>
          <w:bCs/>
          <w:sz w:val="40"/>
          <w:szCs w:val="40"/>
          <w:lang w:val="en-US" w:eastAsia="zh-CN"/>
        </w:rPr>
        <w:t>年</w:t>
      </w:r>
      <w:r>
        <w:rPr>
          <w:rFonts w:hint="eastAsia" w:ascii="宋体" w:hAnsi="宋体" w:cs="宋体"/>
          <w:b/>
          <w:bCs/>
          <w:sz w:val="40"/>
          <w:szCs w:val="40"/>
          <w:lang w:val="en-US" w:eastAsia="zh-CN"/>
        </w:rPr>
        <w:t>3月</w:t>
      </w:r>
    </w:p>
    <w:p w14:paraId="33372526">
      <w:pPr>
        <w:rPr>
          <w:rFonts w:hint="eastAsia" w:ascii="宋体" w:hAnsi="宋体" w:eastAsia="宋体" w:cs="宋体"/>
          <w:b/>
          <w:bCs/>
          <w:sz w:val="40"/>
          <w:szCs w:val="40"/>
        </w:rPr>
      </w:pPr>
      <w:r>
        <w:rPr>
          <w:rFonts w:hint="eastAsia" w:ascii="宋体" w:hAnsi="宋体" w:eastAsia="宋体" w:cs="宋体"/>
          <w:b/>
          <w:bCs/>
          <w:sz w:val="40"/>
          <w:szCs w:val="40"/>
        </w:rPr>
        <w:br w:type="page"/>
      </w:r>
    </w:p>
    <w:p w14:paraId="27348F2A">
      <w:pPr>
        <w:pStyle w:val="2"/>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0" w:name="_Toc18621"/>
      <w:r>
        <w:rPr>
          <w:rFonts w:hint="eastAsia"/>
          <w:b/>
          <w:lang w:val="en-US" w:eastAsia="zh-CN"/>
        </w:rPr>
        <w:t>报告概述</w:t>
      </w:r>
      <w:bookmarkEnd w:id="0"/>
    </w:p>
    <w:p w14:paraId="516A320C">
      <w:pPr>
        <w:keepNext w:val="0"/>
        <w:keepLines w:val="0"/>
        <w:pageBreakBefore w:val="0"/>
        <w:widowControl w:val="0"/>
        <w:suppressLineNumbers w:val="0"/>
        <w:kinsoku/>
        <w:wordWrap/>
        <w:overflowPunct/>
        <w:topLinePunct w:val="0"/>
        <w:autoSpaceDE/>
        <w:autoSpaceDN/>
        <w:bidi w:val="0"/>
        <w:adjustRightInd/>
        <w:snapToGrid/>
        <w:ind w:left="0" w:leftChars="0"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本报告是徐州市永康电子科技有限公司对外公开发布的《社会责任报告》。编制过程严格参照 GB/T 39604-2020《社会责任管理体系要求及使用指南》、GRI（全球报告倡议组织）《可持续发展报告指南》（G3 版）以及中国社科院《中国企业社会责任报告编写指南》，结合公司对社会责任的独特理解与具体实践，全面呈现公司在</w:t>
      </w:r>
      <w:r>
        <w:rPr>
          <w:rFonts w:hint="eastAsia" w:ascii="宋体" w:hAnsi="宋体" w:cs="宋体"/>
          <w:b w:val="0"/>
          <w:bCs w:val="0"/>
          <w:kern w:val="2"/>
          <w:sz w:val="28"/>
          <w:szCs w:val="28"/>
          <w:lang w:val="en-US" w:eastAsia="zh-CN" w:bidi="ar-SA"/>
        </w:rPr>
        <w:t>2023</w:t>
      </w:r>
      <w:r>
        <w:rPr>
          <w:rFonts w:hint="eastAsia" w:ascii="宋体" w:hAnsi="宋体" w:eastAsia="宋体" w:cs="宋体"/>
          <w:b w:val="0"/>
          <w:bCs w:val="0"/>
          <w:kern w:val="2"/>
          <w:sz w:val="28"/>
          <w:szCs w:val="28"/>
          <w:lang w:val="en-US" w:eastAsia="zh-CN" w:bidi="ar-SA"/>
        </w:rPr>
        <w:t>年度社会责任领域的理念、举措及成果。</w:t>
      </w:r>
    </w:p>
    <w:p w14:paraId="238A7FD9">
      <w:pPr>
        <w:pStyle w:val="2"/>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 w:name="_Toc3928"/>
      <w:r>
        <w:rPr>
          <w:rFonts w:hint="eastAsia"/>
          <w:b/>
          <w:lang w:val="en-US" w:eastAsia="zh-CN"/>
        </w:rPr>
        <w:t>报告范围</w:t>
      </w:r>
      <w:bookmarkEnd w:id="1"/>
    </w:p>
    <w:p w14:paraId="59284D3F">
      <w:pPr>
        <w:keepNext w:val="0"/>
        <w:keepLines w:val="0"/>
        <w:pageBreakBefore w:val="0"/>
        <w:widowControl w:val="0"/>
        <w:suppressLineNumbers w:val="0"/>
        <w:kinsoku/>
        <w:wordWrap/>
        <w:overflowPunct/>
        <w:topLinePunct w:val="0"/>
        <w:autoSpaceDE/>
        <w:autoSpaceDN/>
        <w:bidi w:val="0"/>
        <w:adjustRightInd/>
        <w:snapToGrid/>
        <w:ind w:left="0" w:leftChars="0" w:firstLine="560" w:firstLineChars="20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除非有特殊说明，本报告主要描述202</w:t>
      </w:r>
      <w:r>
        <w:rPr>
          <w:rFonts w:hint="eastAsia" w:ascii="宋体" w:hAnsi="宋体" w:cs="宋体"/>
          <w:b w:val="0"/>
          <w:bCs w:val="0"/>
          <w:kern w:val="2"/>
          <w:sz w:val="28"/>
          <w:szCs w:val="28"/>
          <w:lang w:val="en-US" w:eastAsia="zh-CN" w:bidi="ar-SA"/>
        </w:rPr>
        <w:t>3</w:t>
      </w:r>
      <w:r>
        <w:rPr>
          <w:rFonts w:hint="eastAsia" w:ascii="宋体" w:hAnsi="宋体" w:eastAsia="宋体" w:cs="宋体"/>
          <w:b w:val="0"/>
          <w:bCs w:val="0"/>
          <w:kern w:val="2"/>
          <w:sz w:val="28"/>
          <w:szCs w:val="28"/>
          <w:lang w:val="en-US" w:eastAsia="zh-CN" w:bidi="ar-SA"/>
        </w:rPr>
        <w:t>年1月1日至202</w:t>
      </w:r>
      <w:r>
        <w:rPr>
          <w:rFonts w:hint="eastAsia" w:ascii="宋体" w:hAnsi="宋体" w:cs="宋体"/>
          <w:b w:val="0"/>
          <w:bCs w:val="0"/>
          <w:kern w:val="2"/>
          <w:sz w:val="28"/>
          <w:szCs w:val="28"/>
          <w:lang w:val="en-US" w:eastAsia="zh-CN" w:bidi="ar-SA"/>
        </w:rPr>
        <w:t>3</w:t>
      </w:r>
      <w:r>
        <w:rPr>
          <w:rFonts w:hint="eastAsia" w:ascii="宋体" w:hAnsi="宋体" w:eastAsia="宋体" w:cs="宋体"/>
          <w:b w:val="0"/>
          <w:bCs w:val="0"/>
          <w:kern w:val="2"/>
          <w:sz w:val="28"/>
          <w:szCs w:val="28"/>
          <w:lang w:val="en-US" w:eastAsia="zh-CN" w:bidi="ar-SA"/>
        </w:rPr>
        <w:t>年12月31日期间，徐州市永康电子科技有限公司在公司运营、内控管理、发展规划、供应链、人才建设等方面的工作，报告内容涵盖了在营业务。</w:t>
      </w:r>
    </w:p>
    <w:p w14:paraId="1F0313C5">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徐州市永康电子科技有限公司</w:t>
      </w:r>
    </w:p>
    <w:p w14:paraId="54FC7B2F">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地址：徐州市经济开发区软件园明阳广场C1楼12层</w:t>
      </w:r>
    </w:p>
    <w:p w14:paraId="214A2147">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r>
        <w:rPr>
          <w:rFonts w:hint="eastAsia" w:ascii="宋体" w:hAnsi="宋体" w:eastAsia="宋体" w:cs="宋体"/>
          <w:b w:val="0"/>
          <w:bCs w:val="0"/>
          <w:kern w:val="2"/>
          <w:sz w:val="28"/>
          <w:szCs w:val="28"/>
          <w:lang w:val="en-US" w:eastAsia="zh-CN" w:bidi="ar-SA"/>
        </w:rPr>
        <w:t>电话：0516-68910110</w:t>
      </w:r>
    </w:p>
    <w:p w14:paraId="7360D224">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sectPr>
          <w:pgSz w:w="11906" w:h="16838"/>
          <w:pgMar w:top="1440" w:right="1800" w:bottom="1440" w:left="1800" w:header="851" w:footer="992" w:gutter="0"/>
          <w:cols w:space="425" w:num="1"/>
          <w:docGrid w:type="lines" w:linePitch="312" w:charSpace="0"/>
        </w:sectPr>
      </w:pPr>
      <w:r>
        <w:rPr>
          <w:rFonts w:hint="eastAsia" w:ascii="宋体" w:hAnsi="宋体" w:eastAsia="宋体" w:cs="宋体"/>
          <w:b w:val="0"/>
          <w:bCs w:val="0"/>
          <w:kern w:val="2"/>
          <w:sz w:val="28"/>
          <w:szCs w:val="28"/>
          <w:lang w:val="en-US" w:eastAsia="zh-CN" w:bidi="ar-SA"/>
        </w:rPr>
        <w:t>传真：0516-68910110</w:t>
      </w:r>
    </w:p>
    <w:p w14:paraId="20B3F868">
      <w:pPr>
        <w:keepNext w:val="0"/>
        <w:keepLines w:val="0"/>
        <w:pageBreakBefore w:val="0"/>
        <w:widowControl w:val="0"/>
        <w:suppressLineNumbers w:val="0"/>
        <w:kinsoku/>
        <w:wordWrap/>
        <w:overflowPunct/>
        <w:topLinePunct w:val="0"/>
        <w:autoSpaceDE/>
        <w:autoSpaceDN/>
        <w:bidi w:val="0"/>
        <w:adjustRightInd/>
        <w:snapToGrid/>
        <w:ind w:left="0" w:leftChars="0" w:firstLine="0" w:firstLineChars="0"/>
        <w:jc w:val="both"/>
        <w:textAlignment w:val="auto"/>
        <w:rPr>
          <w:rFonts w:hint="eastAsia" w:ascii="宋体" w:hAnsi="宋体" w:eastAsia="宋体" w:cs="宋体"/>
          <w:b w:val="0"/>
          <w:bCs w:val="0"/>
          <w:kern w:val="2"/>
          <w:sz w:val="28"/>
          <w:szCs w:val="28"/>
          <w:lang w:val="en-US" w:eastAsia="zh-CN" w:bidi="ar-SA"/>
        </w:rPr>
      </w:pPr>
    </w:p>
    <w:sdt>
      <w:sdtPr>
        <w:rPr>
          <w:rFonts w:ascii="宋体" w:hAnsi="宋体" w:eastAsia="宋体" w:cstheme="minorBidi"/>
          <w:kern w:val="2"/>
          <w:sz w:val="21"/>
          <w:szCs w:val="24"/>
          <w:lang w:val="en-US" w:eastAsia="zh-CN" w:bidi="ar-SA"/>
        </w:rPr>
        <w:id w:val="147473175"/>
        <w15:color w:val="DBDBDB"/>
        <w:docPartObj>
          <w:docPartGallery w:val="Table of Contents"/>
          <w:docPartUnique/>
        </w:docPartObj>
      </w:sdtPr>
      <w:sdtEndPr>
        <w:rPr>
          <w:rFonts w:ascii="宋体" w:hAnsi="宋体" w:eastAsia="宋体" w:cstheme="minorBidi"/>
          <w:kern w:val="2"/>
          <w:sz w:val="21"/>
          <w:szCs w:val="24"/>
          <w:lang w:val="en-US" w:eastAsia="zh-CN" w:bidi="ar-SA"/>
        </w:rPr>
      </w:sdtEndPr>
      <w:sdtContent>
        <w:p w14:paraId="0D3FB617">
          <w:pPr>
            <w:keepNext w:val="0"/>
            <w:keepLines w:val="0"/>
            <w:pageBreakBefore w:val="0"/>
            <w:widowControl w:val="0"/>
            <w:kinsoku/>
            <w:wordWrap/>
            <w:overflowPunct/>
            <w:topLinePunct w:val="0"/>
            <w:autoSpaceDE/>
            <w:autoSpaceDN/>
            <w:bidi w:val="0"/>
            <w:adjustRightInd/>
            <w:snapToGrid/>
            <w:spacing w:before="0" w:beforeLines="0" w:after="0" w:afterLines="0" w:line="240" w:lineRule="auto"/>
            <w:ind w:left="0" w:leftChars="0" w:right="0" w:rightChars="0" w:firstLine="0" w:firstLineChars="0"/>
            <w:jc w:val="center"/>
            <w:textAlignment w:val="auto"/>
            <w:rPr>
              <w:sz w:val="28"/>
              <w:szCs w:val="28"/>
            </w:rPr>
          </w:pPr>
          <w:r>
            <w:rPr>
              <w:rFonts w:ascii="宋体" w:hAnsi="宋体" w:eastAsia="宋体"/>
              <w:sz w:val="28"/>
              <w:szCs w:val="28"/>
            </w:rPr>
            <w:t>目录</w:t>
          </w:r>
        </w:p>
        <w:p w14:paraId="59E68780">
          <w:pPr>
            <w:pStyle w:val="8"/>
            <w:tabs>
              <w:tab w:val="right" w:leader="dot" w:pos="8306"/>
            </w:tabs>
          </w:pPr>
          <w:r>
            <w:rPr>
              <w:sz w:val="28"/>
              <w:szCs w:val="28"/>
            </w:rPr>
            <w:fldChar w:fldCharType="begin"/>
          </w:r>
          <w:r>
            <w:rPr>
              <w:sz w:val="28"/>
              <w:szCs w:val="28"/>
            </w:rPr>
            <w:instrText xml:space="preserve">TOC \o "1-2" \h \u </w:instrText>
          </w:r>
          <w:r>
            <w:rPr>
              <w:sz w:val="28"/>
              <w:szCs w:val="28"/>
            </w:rPr>
            <w:fldChar w:fldCharType="separate"/>
          </w:r>
          <w:r>
            <w:rPr>
              <w:szCs w:val="28"/>
            </w:rPr>
            <w:fldChar w:fldCharType="begin"/>
          </w:r>
          <w:r>
            <w:rPr>
              <w:szCs w:val="28"/>
            </w:rPr>
            <w:instrText xml:space="preserve"> HYPERLINK \l _Toc18621 </w:instrText>
          </w:r>
          <w:r>
            <w:rPr>
              <w:szCs w:val="28"/>
            </w:rPr>
            <w:fldChar w:fldCharType="separate"/>
          </w:r>
          <w:r>
            <w:rPr>
              <w:rFonts w:hint="eastAsia"/>
              <w:lang w:val="en-US" w:eastAsia="zh-CN"/>
            </w:rPr>
            <w:t>报告概述</w:t>
          </w:r>
          <w:r>
            <w:tab/>
          </w:r>
          <w:r>
            <w:rPr>
              <w:szCs w:val="28"/>
            </w:rPr>
            <w:fldChar w:fldCharType="end"/>
          </w:r>
        </w:p>
        <w:p w14:paraId="2B6732CF">
          <w:pPr>
            <w:pStyle w:val="8"/>
            <w:tabs>
              <w:tab w:val="right" w:leader="dot" w:pos="8306"/>
            </w:tabs>
          </w:pPr>
          <w:r>
            <w:rPr>
              <w:szCs w:val="28"/>
            </w:rPr>
            <w:fldChar w:fldCharType="begin"/>
          </w:r>
          <w:r>
            <w:rPr>
              <w:szCs w:val="28"/>
            </w:rPr>
            <w:instrText xml:space="preserve"> HYPERLINK \l _Toc3928 </w:instrText>
          </w:r>
          <w:r>
            <w:rPr>
              <w:szCs w:val="28"/>
            </w:rPr>
            <w:fldChar w:fldCharType="separate"/>
          </w:r>
          <w:r>
            <w:rPr>
              <w:rFonts w:hint="eastAsia"/>
              <w:lang w:val="en-US" w:eastAsia="zh-CN"/>
            </w:rPr>
            <w:t>报告范围</w:t>
          </w:r>
          <w:r>
            <w:tab/>
          </w:r>
          <w:r>
            <w:rPr>
              <w:szCs w:val="28"/>
            </w:rPr>
            <w:fldChar w:fldCharType="end"/>
          </w:r>
        </w:p>
        <w:p w14:paraId="070A2CC2">
          <w:pPr>
            <w:pStyle w:val="8"/>
            <w:tabs>
              <w:tab w:val="right" w:leader="dot" w:pos="8306"/>
            </w:tabs>
          </w:pPr>
          <w:r>
            <w:rPr>
              <w:szCs w:val="28"/>
            </w:rPr>
            <w:fldChar w:fldCharType="begin"/>
          </w:r>
          <w:r>
            <w:rPr>
              <w:szCs w:val="28"/>
            </w:rPr>
            <w:instrText xml:space="preserve"> HYPERLINK \l _Toc10246 </w:instrText>
          </w:r>
          <w:r>
            <w:rPr>
              <w:szCs w:val="28"/>
            </w:rPr>
            <w:fldChar w:fldCharType="separate"/>
          </w:r>
          <w:r>
            <w:rPr>
              <w:rFonts w:hint="eastAsia"/>
              <w:lang w:val="en-US" w:eastAsia="zh-CN"/>
            </w:rPr>
            <w:t>一、</w:t>
          </w:r>
          <w:r>
            <w:rPr>
              <w:rFonts w:hint="default"/>
              <w:lang w:val="en-US" w:eastAsia="zh-CN"/>
            </w:rPr>
            <w:t>组织所处环境与社会责任议题识别</w:t>
          </w:r>
          <w:r>
            <w:tab/>
          </w:r>
          <w:r>
            <w:fldChar w:fldCharType="begin"/>
          </w:r>
          <w:r>
            <w:instrText xml:space="preserve"> PAGEREF _Toc10246 \h </w:instrText>
          </w:r>
          <w:r>
            <w:fldChar w:fldCharType="separate"/>
          </w:r>
          <w:r>
            <w:t>1</w:t>
          </w:r>
          <w:r>
            <w:fldChar w:fldCharType="end"/>
          </w:r>
          <w:r>
            <w:rPr>
              <w:szCs w:val="28"/>
            </w:rPr>
            <w:fldChar w:fldCharType="end"/>
          </w:r>
        </w:p>
        <w:p w14:paraId="3D463B2E">
          <w:pPr>
            <w:pStyle w:val="9"/>
            <w:tabs>
              <w:tab w:val="right" w:leader="dot" w:pos="8306"/>
            </w:tabs>
          </w:pPr>
          <w:r>
            <w:rPr>
              <w:szCs w:val="28"/>
            </w:rPr>
            <w:fldChar w:fldCharType="begin"/>
          </w:r>
          <w:r>
            <w:rPr>
              <w:szCs w:val="28"/>
            </w:rPr>
            <w:instrText xml:space="preserve"> HYPERLINK \l _Toc29677 </w:instrText>
          </w:r>
          <w:r>
            <w:rPr>
              <w:szCs w:val="28"/>
            </w:rPr>
            <w:fldChar w:fldCharType="separate"/>
          </w:r>
          <w:r>
            <w:rPr>
              <w:rFonts w:hint="default"/>
              <w:lang w:val="en-US" w:eastAsia="zh-CN"/>
            </w:rPr>
            <w:t>1.1 组织特征与社会责任关联</w:t>
          </w:r>
          <w:r>
            <w:tab/>
          </w:r>
          <w:r>
            <w:fldChar w:fldCharType="begin"/>
          </w:r>
          <w:r>
            <w:instrText xml:space="preserve"> PAGEREF _Toc29677 \h </w:instrText>
          </w:r>
          <w:r>
            <w:fldChar w:fldCharType="separate"/>
          </w:r>
          <w:r>
            <w:t>1</w:t>
          </w:r>
          <w:r>
            <w:fldChar w:fldCharType="end"/>
          </w:r>
          <w:r>
            <w:rPr>
              <w:szCs w:val="28"/>
            </w:rPr>
            <w:fldChar w:fldCharType="end"/>
          </w:r>
        </w:p>
        <w:p w14:paraId="5EF5B54F">
          <w:pPr>
            <w:pStyle w:val="9"/>
            <w:tabs>
              <w:tab w:val="right" w:leader="dot" w:pos="8306"/>
            </w:tabs>
          </w:pPr>
          <w:r>
            <w:rPr>
              <w:szCs w:val="28"/>
            </w:rPr>
            <w:fldChar w:fldCharType="begin"/>
          </w:r>
          <w:r>
            <w:rPr>
              <w:szCs w:val="28"/>
            </w:rPr>
            <w:instrText xml:space="preserve"> HYPERLINK \l _Toc31768 </w:instrText>
          </w:r>
          <w:r>
            <w:rPr>
              <w:szCs w:val="28"/>
            </w:rPr>
            <w:fldChar w:fldCharType="separate"/>
          </w:r>
          <w:r>
            <w:rPr>
              <w:rFonts w:hint="default"/>
              <w:lang w:val="en-US" w:eastAsia="zh-CN"/>
            </w:rPr>
            <w:t>1.2 关键社会责任议题辨识</w:t>
          </w:r>
          <w:r>
            <w:tab/>
          </w:r>
          <w:r>
            <w:fldChar w:fldCharType="begin"/>
          </w:r>
          <w:r>
            <w:instrText xml:space="preserve"> PAGEREF _Toc31768 \h </w:instrText>
          </w:r>
          <w:r>
            <w:fldChar w:fldCharType="separate"/>
          </w:r>
          <w:r>
            <w:t>1</w:t>
          </w:r>
          <w:r>
            <w:fldChar w:fldCharType="end"/>
          </w:r>
          <w:r>
            <w:rPr>
              <w:szCs w:val="28"/>
            </w:rPr>
            <w:fldChar w:fldCharType="end"/>
          </w:r>
        </w:p>
        <w:p w14:paraId="589949CD">
          <w:pPr>
            <w:pStyle w:val="9"/>
            <w:tabs>
              <w:tab w:val="right" w:leader="dot" w:pos="8306"/>
            </w:tabs>
          </w:pPr>
          <w:r>
            <w:rPr>
              <w:szCs w:val="28"/>
            </w:rPr>
            <w:fldChar w:fldCharType="begin"/>
          </w:r>
          <w:r>
            <w:rPr>
              <w:szCs w:val="28"/>
            </w:rPr>
            <w:instrText xml:space="preserve"> HYPERLINK \l _Toc22243 </w:instrText>
          </w:r>
          <w:r>
            <w:rPr>
              <w:szCs w:val="28"/>
            </w:rPr>
            <w:fldChar w:fldCharType="separate"/>
          </w:r>
          <w:r>
            <w:rPr>
              <w:rFonts w:hint="default"/>
              <w:lang w:val="en-US" w:eastAsia="zh-CN"/>
            </w:rPr>
            <w:t>1.3 确定社会责任管理体系范围</w:t>
          </w:r>
          <w:r>
            <w:tab/>
          </w:r>
          <w:r>
            <w:fldChar w:fldCharType="begin"/>
          </w:r>
          <w:r>
            <w:instrText xml:space="preserve"> PAGEREF _Toc22243 \h </w:instrText>
          </w:r>
          <w:r>
            <w:fldChar w:fldCharType="separate"/>
          </w:r>
          <w:r>
            <w:t>2</w:t>
          </w:r>
          <w:r>
            <w:fldChar w:fldCharType="end"/>
          </w:r>
          <w:r>
            <w:rPr>
              <w:szCs w:val="28"/>
            </w:rPr>
            <w:fldChar w:fldCharType="end"/>
          </w:r>
        </w:p>
        <w:p w14:paraId="2AA15051">
          <w:pPr>
            <w:pStyle w:val="8"/>
            <w:tabs>
              <w:tab w:val="right" w:leader="dot" w:pos="8306"/>
            </w:tabs>
          </w:pPr>
          <w:r>
            <w:rPr>
              <w:szCs w:val="28"/>
            </w:rPr>
            <w:fldChar w:fldCharType="begin"/>
          </w:r>
          <w:r>
            <w:rPr>
              <w:szCs w:val="28"/>
            </w:rPr>
            <w:instrText xml:space="preserve"> HYPERLINK \l _Toc1996 </w:instrText>
          </w:r>
          <w:r>
            <w:rPr>
              <w:szCs w:val="28"/>
            </w:rPr>
            <w:fldChar w:fldCharType="separate"/>
          </w:r>
          <w:r>
            <w:rPr>
              <w:rFonts w:hint="eastAsia"/>
              <w:lang w:val="en-US" w:eastAsia="zh-CN"/>
            </w:rPr>
            <w:t>二、</w:t>
          </w:r>
          <w:r>
            <w:rPr>
              <w:rFonts w:hint="default"/>
              <w:lang w:val="en-US" w:eastAsia="zh-CN"/>
            </w:rPr>
            <w:t>领导作用与治理架构</w:t>
          </w:r>
          <w:r>
            <w:tab/>
          </w:r>
          <w:r>
            <w:fldChar w:fldCharType="begin"/>
          </w:r>
          <w:r>
            <w:instrText xml:space="preserve"> PAGEREF _Toc1996 \h </w:instrText>
          </w:r>
          <w:r>
            <w:fldChar w:fldCharType="separate"/>
          </w:r>
          <w:r>
            <w:t>2</w:t>
          </w:r>
          <w:r>
            <w:fldChar w:fldCharType="end"/>
          </w:r>
          <w:r>
            <w:rPr>
              <w:szCs w:val="28"/>
            </w:rPr>
            <w:fldChar w:fldCharType="end"/>
          </w:r>
        </w:p>
        <w:p w14:paraId="1D50478E">
          <w:pPr>
            <w:pStyle w:val="9"/>
            <w:tabs>
              <w:tab w:val="right" w:leader="dot" w:pos="8306"/>
            </w:tabs>
          </w:pPr>
          <w:r>
            <w:rPr>
              <w:szCs w:val="28"/>
            </w:rPr>
            <w:fldChar w:fldCharType="begin"/>
          </w:r>
          <w:r>
            <w:rPr>
              <w:szCs w:val="28"/>
            </w:rPr>
            <w:instrText xml:space="preserve"> HYPERLINK \l _Toc8102 </w:instrText>
          </w:r>
          <w:r>
            <w:rPr>
              <w:szCs w:val="28"/>
            </w:rPr>
            <w:fldChar w:fldCharType="separate"/>
          </w:r>
          <w:r>
            <w:rPr>
              <w:rFonts w:hint="default"/>
              <w:lang w:val="en-US" w:eastAsia="zh-CN"/>
            </w:rPr>
            <w:t>2.1 领导承诺与社会责任方针</w:t>
          </w:r>
          <w:r>
            <w:tab/>
          </w:r>
          <w:r>
            <w:fldChar w:fldCharType="begin"/>
          </w:r>
          <w:r>
            <w:instrText xml:space="preserve"> PAGEREF _Toc8102 \h </w:instrText>
          </w:r>
          <w:r>
            <w:fldChar w:fldCharType="separate"/>
          </w:r>
          <w:r>
            <w:t>2</w:t>
          </w:r>
          <w:r>
            <w:fldChar w:fldCharType="end"/>
          </w:r>
          <w:r>
            <w:rPr>
              <w:szCs w:val="28"/>
            </w:rPr>
            <w:fldChar w:fldCharType="end"/>
          </w:r>
        </w:p>
        <w:p w14:paraId="7A64C321">
          <w:pPr>
            <w:pStyle w:val="9"/>
            <w:tabs>
              <w:tab w:val="right" w:leader="dot" w:pos="8306"/>
            </w:tabs>
          </w:pPr>
          <w:r>
            <w:rPr>
              <w:szCs w:val="28"/>
            </w:rPr>
            <w:fldChar w:fldCharType="begin"/>
          </w:r>
          <w:r>
            <w:rPr>
              <w:szCs w:val="28"/>
            </w:rPr>
            <w:instrText xml:space="preserve"> HYPERLINK \l _Toc19718 </w:instrText>
          </w:r>
          <w:r>
            <w:rPr>
              <w:szCs w:val="28"/>
            </w:rPr>
            <w:fldChar w:fldCharType="separate"/>
          </w:r>
          <w:r>
            <w:rPr>
              <w:rFonts w:hint="default"/>
              <w:lang w:val="en-US" w:eastAsia="zh-CN"/>
            </w:rPr>
            <w:t>2.2 组织架构与职责分工</w:t>
          </w:r>
          <w:r>
            <w:tab/>
          </w:r>
          <w:r>
            <w:fldChar w:fldCharType="begin"/>
          </w:r>
          <w:r>
            <w:instrText xml:space="preserve"> PAGEREF _Toc19718 \h </w:instrText>
          </w:r>
          <w:r>
            <w:fldChar w:fldCharType="separate"/>
          </w:r>
          <w:r>
            <w:t>3</w:t>
          </w:r>
          <w:r>
            <w:fldChar w:fldCharType="end"/>
          </w:r>
          <w:r>
            <w:rPr>
              <w:szCs w:val="28"/>
            </w:rPr>
            <w:fldChar w:fldCharType="end"/>
          </w:r>
        </w:p>
        <w:p w14:paraId="6F213445">
          <w:pPr>
            <w:pStyle w:val="8"/>
            <w:tabs>
              <w:tab w:val="right" w:leader="dot" w:pos="8306"/>
            </w:tabs>
          </w:pPr>
          <w:r>
            <w:rPr>
              <w:szCs w:val="28"/>
            </w:rPr>
            <w:fldChar w:fldCharType="begin"/>
          </w:r>
          <w:r>
            <w:rPr>
              <w:szCs w:val="28"/>
            </w:rPr>
            <w:instrText xml:space="preserve"> HYPERLINK \l _Toc18440 </w:instrText>
          </w:r>
          <w:r>
            <w:rPr>
              <w:szCs w:val="28"/>
            </w:rPr>
            <w:fldChar w:fldCharType="separate"/>
          </w:r>
          <w:r>
            <w:rPr>
              <w:rFonts w:hint="eastAsia"/>
              <w:lang w:val="en-US" w:eastAsia="zh-CN"/>
            </w:rPr>
            <w:t>三、 经营状况与可持续发展</w:t>
          </w:r>
          <w:r>
            <w:tab/>
          </w:r>
          <w:r>
            <w:fldChar w:fldCharType="begin"/>
          </w:r>
          <w:r>
            <w:instrText xml:space="preserve"> PAGEREF _Toc18440 \h </w:instrText>
          </w:r>
          <w:r>
            <w:fldChar w:fldCharType="separate"/>
          </w:r>
          <w:r>
            <w:t>3</w:t>
          </w:r>
          <w:r>
            <w:fldChar w:fldCharType="end"/>
          </w:r>
          <w:r>
            <w:rPr>
              <w:szCs w:val="28"/>
            </w:rPr>
            <w:fldChar w:fldCharType="end"/>
          </w:r>
        </w:p>
        <w:p w14:paraId="341D2F19">
          <w:pPr>
            <w:pStyle w:val="9"/>
            <w:tabs>
              <w:tab w:val="right" w:leader="dot" w:pos="8306"/>
            </w:tabs>
          </w:pPr>
          <w:r>
            <w:rPr>
              <w:szCs w:val="28"/>
            </w:rPr>
            <w:fldChar w:fldCharType="begin"/>
          </w:r>
          <w:r>
            <w:rPr>
              <w:szCs w:val="28"/>
            </w:rPr>
            <w:instrText xml:space="preserve"> HYPERLINK \l _Toc26577 </w:instrText>
          </w:r>
          <w:r>
            <w:rPr>
              <w:szCs w:val="28"/>
            </w:rPr>
            <w:fldChar w:fldCharType="separate"/>
          </w:r>
          <w:r>
            <w:rPr>
              <w:rFonts w:hint="eastAsia"/>
              <w:lang w:val="en-US" w:eastAsia="zh-CN"/>
            </w:rPr>
            <w:t>3.1 经营业绩概况</w:t>
          </w:r>
          <w:r>
            <w:tab/>
          </w:r>
          <w:r>
            <w:fldChar w:fldCharType="begin"/>
          </w:r>
          <w:r>
            <w:instrText xml:space="preserve"> PAGEREF _Toc26577 \h </w:instrText>
          </w:r>
          <w:r>
            <w:fldChar w:fldCharType="separate"/>
          </w:r>
          <w:r>
            <w:t>3</w:t>
          </w:r>
          <w:r>
            <w:fldChar w:fldCharType="end"/>
          </w:r>
          <w:r>
            <w:rPr>
              <w:szCs w:val="28"/>
            </w:rPr>
            <w:fldChar w:fldCharType="end"/>
          </w:r>
        </w:p>
        <w:p w14:paraId="6356A94F">
          <w:pPr>
            <w:pStyle w:val="9"/>
            <w:tabs>
              <w:tab w:val="right" w:leader="dot" w:pos="8306"/>
            </w:tabs>
          </w:pPr>
          <w:r>
            <w:rPr>
              <w:szCs w:val="28"/>
            </w:rPr>
            <w:fldChar w:fldCharType="begin"/>
          </w:r>
          <w:r>
            <w:rPr>
              <w:szCs w:val="28"/>
            </w:rPr>
            <w:instrText xml:space="preserve"> HYPERLINK \l _Toc18299 </w:instrText>
          </w:r>
          <w:r>
            <w:rPr>
              <w:szCs w:val="28"/>
            </w:rPr>
            <w:fldChar w:fldCharType="separate"/>
          </w:r>
          <w:r>
            <w:rPr>
              <w:rFonts w:hint="eastAsia"/>
              <w:lang w:val="en-US" w:eastAsia="zh-CN"/>
            </w:rPr>
            <w:t>3.2研发与创新投入</w:t>
          </w:r>
          <w:r>
            <w:tab/>
          </w:r>
          <w:r>
            <w:fldChar w:fldCharType="begin"/>
          </w:r>
          <w:r>
            <w:instrText xml:space="preserve"> PAGEREF _Toc18299 \h </w:instrText>
          </w:r>
          <w:r>
            <w:fldChar w:fldCharType="separate"/>
          </w:r>
          <w:r>
            <w:t>4</w:t>
          </w:r>
          <w:r>
            <w:fldChar w:fldCharType="end"/>
          </w:r>
          <w:r>
            <w:rPr>
              <w:szCs w:val="28"/>
            </w:rPr>
            <w:fldChar w:fldCharType="end"/>
          </w:r>
        </w:p>
        <w:p w14:paraId="5250F913">
          <w:pPr>
            <w:pStyle w:val="9"/>
            <w:tabs>
              <w:tab w:val="right" w:leader="dot" w:pos="8306"/>
            </w:tabs>
          </w:pPr>
          <w:r>
            <w:rPr>
              <w:szCs w:val="28"/>
            </w:rPr>
            <w:fldChar w:fldCharType="begin"/>
          </w:r>
          <w:r>
            <w:rPr>
              <w:szCs w:val="28"/>
            </w:rPr>
            <w:instrText xml:space="preserve"> HYPERLINK \l _Toc22297 </w:instrText>
          </w:r>
          <w:r>
            <w:rPr>
              <w:szCs w:val="28"/>
            </w:rPr>
            <w:fldChar w:fldCharType="separate"/>
          </w:r>
          <w:r>
            <w:rPr>
              <w:rFonts w:hint="eastAsia"/>
              <w:lang w:val="en-US" w:eastAsia="zh-CN"/>
            </w:rPr>
            <w:t>3.3 可持续发展战略</w:t>
          </w:r>
          <w:r>
            <w:tab/>
          </w:r>
          <w:r>
            <w:fldChar w:fldCharType="begin"/>
          </w:r>
          <w:r>
            <w:instrText xml:space="preserve"> PAGEREF _Toc22297 \h </w:instrText>
          </w:r>
          <w:r>
            <w:fldChar w:fldCharType="separate"/>
          </w:r>
          <w:r>
            <w:t>5</w:t>
          </w:r>
          <w:r>
            <w:fldChar w:fldCharType="end"/>
          </w:r>
          <w:r>
            <w:rPr>
              <w:szCs w:val="28"/>
            </w:rPr>
            <w:fldChar w:fldCharType="end"/>
          </w:r>
        </w:p>
        <w:p w14:paraId="3458A1C6">
          <w:pPr>
            <w:pStyle w:val="8"/>
            <w:tabs>
              <w:tab w:val="right" w:leader="dot" w:pos="8306"/>
            </w:tabs>
          </w:pPr>
          <w:r>
            <w:rPr>
              <w:szCs w:val="28"/>
            </w:rPr>
            <w:fldChar w:fldCharType="begin"/>
          </w:r>
          <w:r>
            <w:rPr>
              <w:szCs w:val="28"/>
            </w:rPr>
            <w:instrText xml:space="preserve"> HYPERLINK \l _Toc6496 </w:instrText>
          </w:r>
          <w:r>
            <w:rPr>
              <w:szCs w:val="28"/>
            </w:rPr>
            <w:fldChar w:fldCharType="separate"/>
          </w:r>
          <w:r>
            <w:rPr>
              <w:rFonts w:hint="eastAsia"/>
              <w:lang w:val="en-US" w:eastAsia="zh-CN"/>
            </w:rPr>
            <w:t>四、技术创新与知识产权管理</w:t>
          </w:r>
          <w:r>
            <w:tab/>
          </w:r>
          <w:r>
            <w:fldChar w:fldCharType="begin"/>
          </w:r>
          <w:r>
            <w:instrText xml:space="preserve"> PAGEREF _Toc6496 \h </w:instrText>
          </w:r>
          <w:r>
            <w:fldChar w:fldCharType="separate"/>
          </w:r>
          <w:r>
            <w:t>5</w:t>
          </w:r>
          <w:r>
            <w:fldChar w:fldCharType="end"/>
          </w:r>
          <w:r>
            <w:rPr>
              <w:szCs w:val="28"/>
            </w:rPr>
            <w:fldChar w:fldCharType="end"/>
          </w:r>
        </w:p>
        <w:p w14:paraId="6EF1533A">
          <w:pPr>
            <w:pStyle w:val="9"/>
            <w:tabs>
              <w:tab w:val="right" w:leader="dot" w:pos="8306"/>
            </w:tabs>
          </w:pPr>
          <w:r>
            <w:rPr>
              <w:szCs w:val="28"/>
            </w:rPr>
            <w:fldChar w:fldCharType="begin"/>
          </w:r>
          <w:r>
            <w:rPr>
              <w:szCs w:val="28"/>
            </w:rPr>
            <w:instrText xml:space="preserve"> HYPERLINK \l _Toc18521 </w:instrText>
          </w:r>
          <w:r>
            <w:rPr>
              <w:szCs w:val="28"/>
            </w:rPr>
            <w:fldChar w:fldCharType="separate"/>
          </w:r>
          <w:r>
            <w:rPr>
              <w:rFonts w:hint="eastAsia"/>
              <w:lang w:val="en-US" w:eastAsia="zh-CN"/>
            </w:rPr>
            <w:t>4.1.技术管理</w:t>
          </w:r>
          <w:r>
            <w:tab/>
          </w:r>
          <w:r>
            <w:fldChar w:fldCharType="begin"/>
          </w:r>
          <w:r>
            <w:instrText xml:space="preserve"> PAGEREF _Toc18521 \h </w:instrText>
          </w:r>
          <w:r>
            <w:fldChar w:fldCharType="separate"/>
          </w:r>
          <w:r>
            <w:t>5</w:t>
          </w:r>
          <w:r>
            <w:fldChar w:fldCharType="end"/>
          </w:r>
          <w:r>
            <w:rPr>
              <w:szCs w:val="28"/>
            </w:rPr>
            <w:fldChar w:fldCharType="end"/>
          </w:r>
        </w:p>
        <w:p w14:paraId="6C45C5A9">
          <w:pPr>
            <w:pStyle w:val="9"/>
            <w:tabs>
              <w:tab w:val="right" w:leader="dot" w:pos="8306"/>
            </w:tabs>
          </w:pPr>
          <w:r>
            <w:rPr>
              <w:szCs w:val="28"/>
            </w:rPr>
            <w:fldChar w:fldCharType="begin"/>
          </w:r>
          <w:r>
            <w:rPr>
              <w:szCs w:val="28"/>
            </w:rPr>
            <w:instrText xml:space="preserve"> HYPERLINK \l _Toc15986 </w:instrText>
          </w:r>
          <w:r>
            <w:rPr>
              <w:szCs w:val="28"/>
            </w:rPr>
            <w:fldChar w:fldCharType="separate"/>
          </w:r>
          <w:r>
            <w:rPr>
              <w:rFonts w:hint="eastAsia"/>
              <w:lang w:val="en-US" w:eastAsia="zh-CN"/>
            </w:rPr>
            <w:t>4.2研发团队</w:t>
          </w:r>
          <w:r>
            <w:tab/>
          </w:r>
          <w:r>
            <w:fldChar w:fldCharType="begin"/>
          </w:r>
          <w:r>
            <w:instrText xml:space="preserve"> PAGEREF _Toc15986 \h </w:instrText>
          </w:r>
          <w:r>
            <w:fldChar w:fldCharType="separate"/>
          </w:r>
          <w:r>
            <w:t>6</w:t>
          </w:r>
          <w:r>
            <w:fldChar w:fldCharType="end"/>
          </w:r>
          <w:r>
            <w:rPr>
              <w:szCs w:val="28"/>
            </w:rPr>
            <w:fldChar w:fldCharType="end"/>
          </w:r>
        </w:p>
        <w:p w14:paraId="4A846E7C">
          <w:pPr>
            <w:pStyle w:val="9"/>
            <w:tabs>
              <w:tab w:val="right" w:leader="dot" w:pos="8306"/>
            </w:tabs>
          </w:pPr>
          <w:r>
            <w:rPr>
              <w:szCs w:val="28"/>
            </w:rPr>
            <w:fldChar w:fldCharType="begin"/>
          </w:r>
          <w:r>
            <w:rPr>
              <w:szCs w:val="28"/>
            </w:rPr>
            <w:instrText xml:space="preserve"> HYPERLINK \l _Toc26056 </w:instrText>
          </w:r>
          <w:r>
            <w:rPr>
              <w:szCs w:val="28"/>
            </w:rPr>
            <w:fldChar w:fldCharType="separate"/>
          </w:r>
          <w:r>
            <w:rPr>
              <w:rFonts w:hint="eastAsia"/>
              <w:lang w:val="en-US" w:eastAsia="zh-CN"/>
            </w:rPr>
            <w:t>4.3知识产权</w:t>
          </w:r>
          <w:r>
            <w:tab/>
          </w:r>
          <w:r>
            <w:fldChar w:fldCharType="begin"/>
          </w:r>
          <w:r>
            <w:instrText xml:space="preserve"> PAGEREF _Toc26056 \h </w:instrText>
          </w:r>
          <w:r>
            <w:fldChar w:fldCharType="separate"/>
          </w:r>
          <w:r>
            <w:t>6</w:t>
          </w:r>
          <w:r>
            <w:fldChar w:fldCharType="end"/>
          </w:r>
          <w:r>
            <w:rPr>
              <w:szCs w:val="28"/>
            </w:rPr>
            <w:fldChar w:fldCharType="end"/>
          </w:r>
        </w:p>
        <w:p w14:paraId="6CD29F25">
          <w:pPr>
            <w:pStyle w:val="8"/>
            <w:tabs>
              <w:tab w:val="right" w:leader="dot" w:pos="8306"/>
            </w:tabs>
          </w:pPr>
          <w:r>
            <w:rPr>
              <w:szCs w:val="28"/>
            </w:rPr>
            <w:fldChar w:fldCharType="begin"/>
          </w:r>
          <w:r>
            <w:rPr>
              <w:szCs w:val="28"/>
            </w:rPr>
            <w:instrText xml:space="preserve"> HYPERLINK \l _Toc23251 </w:instrText>
          </w:r>
          <w:r>
            <w:rPr>
              <w:szCs w:val="28"/>
            </w:rPr>
            <w:fldChar w:fldCharType="separate"/>
          </w:r>
          <w:r>
            <w:rPr>
              <w:rFonts w:hint="eastAsia"/>
              <w:lang w:val="en-US" w:eastAsia="zh-CN"/>
            </w:rPr>
            <w:t>五、信用建设与供应链管理</w:t>
          </w:r>
          <w:r>
            <w:tab/>
          </w:r>
          <w:r>
            <w:fldChar w:fldCharType="begin"/>
          </w:r>
          <w:r>
            <w:instrText xml:space="preserve"> PAGEREF _Toc23251 \h </w:instrText>
          </w:r>
          <w:r>
            <w:fldChar w:fldCharType="separate"/>
          </w:r>
          <w:r>
            <w:t>8</w:t>
          </w:r>
          <w:r>
            <w:fldChar w:fldCharType="end"/>
          </w:r>
          <w:r>
            <w:rPr>
              <w:szCs w:val="28"/>
            </w:rPr>
            <w:fldChar w:fldCharType="end"/>
          </w:r>
        </w:p>
        <w:p w14:paraId="5A7FC8C0">
          <w:pPr>
            <w:pStyle w:val="9"/>
            <w:tabs>
              <w:tab w:val="right" w:leader="dot" w:pos="8306"/>
            </w:tabs>
          </w:pPr>
          <w:r>
            <w:rPr>
              <w:szCs w:val="28"/>
            </w:rPr>
            <w:fldChar w:fldCharType="begin"/>
          </w:r>
          <w:r>
            <w:rPr>
              <w:szCs w:val="28"/>
            </w:rPr>
            <w:instrText xml:space="preserve"> HYPERLINK \l _Toc25278 </w:instrText>
          </w:r>
          <w:r>
            <w:rPr>
              <w:szCs w:val="28"/>
            </w:rPr>
            <w:fldChar w:fldCharType="separate"/>
          </w:r>
          <w:r>
            <w:rPr>
              <w:rFonts w:hint="eastAsia"/>
              <w:lang w:val="en-US" w:eastAsia="zh-CN"/>
            </w:rPr>
            <w:t>5.1企业信用建设</w:t>
          </w:r>
          <w:r>
            <w:tab/>
          </w:r>
          <w:r>
            <w:fldChar w:fldCharType="begin"/>
          </w:r>
          <w:r>
            <w:instrText xml:space="preserve"> PAGEREF _Toc25278 \h </w:instrText>
          </w:r>
          <w:r>
            <w:fldChar w:fldCharType="separate"/>
          </w:r>
          <w:r>
            <w:t>8</w:t>
          </w:r>
          <w:r>
            <w:fldChar w:fldCharType="end"/>
          </w:r>
          <w:r>
            <w:rPr>
              <w:szCs w:val="28"/>
            </w:rPr>
            <w:fldChar w:fldCharType="end"/>
          </w:r>
        </w:p>
        <w:p w14:paraId="0DC950FF">
          <w:pPr>
            <w:pStyle w:val="9"/>
            <w:tabs>
              <w:tab w:val="right" w:leader="dot" w:pos="8306"/>
            </w:tabs>
          </w:pPr>
          <w:r>
            <w:rPr>
              <w:szCs w:val="28"/>
            </w:rPr>
            <w:fldChar w:fldCharType="begin"/>
          </w:r>
          <w:r>
            <w:rPr>
              <w:szCs w:val="28"/>
            </w:rPr>
            <w:instrText xml:space="preserve"> HYPERLINK \l _Toc23883 </w:instrText>
          </w:r>
          <w:r>
            <w:rPr>
              <w:szCs w:val="28"/>
            </w:rPr>
            <w:fldChar w:fldCharType="separate"/>
          </w:r>
          <w:r>
            <w:rPr>
              <w:rFonts w:hint="eastAsia"/>
              <w:lang w:val="en-US" w:eastAsia="zh-CN"/>
            </w:rPr>
            <w:t>5.2 供应商管理与社会责任</w:t>
          </w:r>
          <w:r>
            <w:tab/>
          </w:r>
          <w:r>
            <w:fldChar w:fldCharType="begin"/>
          </w:r>
          <w:r>
            <w:instrText xml:space="preserve"> PAGEREF _Toc23883 \h </w:instrText>
          </w:r>
          <w:r>
            <w:fldChar w:fldCharType="separate"/>
          </w:r>
          <w:r>
            <w:t>8</w:t>
          </w:r>
          <w:r>
            <w:fldChar w:fldCharType="end"/>
          </w:r>
          <w:r>
            <w:rPr>
              <w:szCs w:val="28"/>
            </w:rPr>
            <w:fldChar w:fldCharType="end"/>
          </w:r>
        </w:p>
        <w:p w14:paraId="4E8A455D">
          <w:pPr>
            <w:pStyle w:val="8"/>
            <w:tabs>
              <w:tab w:val="right" w:leader="dot" w:pos="8306"/>
            </w:tabs>
          </w:pPr>
          <w:r>
            <w:rPr>
              <w:szCs w:val="28"/>
            </w:rPr>
            <w:fldChar w:fldCharType="begin"/>
          </w:r>
          <w:r>
            <w:rPr>
              <w:szCs w:val="28"/>
            </w:rPr>
            <w:instrText xml:space="preserve"> HYPERLINK \l _Toc8295 </w:instrText>
          </w:r>
          <w:r>
            <w:rPr>
              <w:szCs w:val="28"/>
            </w:rPr>
            <w:fldChar w:fldCharType="separate"/>
          </w:r>
          <w:r>
            <w:rPr>
              <w:rFonts w:hint="eastAsia"/>
              <w:lang w:val="en-US" w:eastAsia="zh-CN"/>
            </w:rPr>
            <w:t>六、 环境管理与资源节约</w:t>
          </w:r>
          <w:r>
            <w:tab/>
          </w:r>
          <w:r>
            <w:fldChar w:fldCharType="begin"/>
          </w:r>
          <w:r>
            <w:instrText xml:space="preserve"> PAGEREF _Toc8295 \h </w:instrText>
          </w:r>
          <w:r>
            <w:fldChar w:fldCharType="separate"/>
          </w:r>
          <w:r>
            <w:t>9</w:t>
          </w:r>
          <w:r>
            <w:fldChar w:fldCharType="end"/>
          </w:r>
          <w:r>
            <w:rPr>
              <w:szCs w:val="28"/>
            </w:rPr>
            <w:fldChar w:fldCharType="end"/>
          </w:r>
        </w:p>
        <w:p w14:paraId="281802C2">
          <w:pPr>
            <w:pStyle w:val="9"/>
            <w:tabs>
              <w:tab w:val="right" w:leader="dot" w:pos="8306"/>
            </w:tabs>
          </w:pPr>
          <w:r>
            <w:rPr>
              <w:szCs w:val="28"/>
            </w:rPr>
            <w:fldChar w:fldCharType="begin"/>
          </w:r>
          <w:r>
            <w:rPr>
              <w:szCs w:val="28"/>
            </w:rPr>
            <w:instrText xml:space="preserve"> HYPERLINK \l _Toc16825 </w:instrText>
          </w:r>
          <w:r>
            <w:rPr>
              <w:szCs w:val="28"/>
            </w:rPr>
            <w:fldChar w:fldCharType="separate"/>
          </w:r>
          <w:r>
            <w:rPr>
              <w:rFonts w:hint="eastAsia"/>
              <w:lang w:val="en-US" w:eastAsia="zh-CN"/>
            </w:rPr>
            <w:t>6</w:t>
          </w:r>
          <w:r>
            <w:rPr>
              <w:rFonts w:hint="default"/>
              <w:lang w:val="en-US" w:eastAsia="zh-CN"/>
            </w:rPr>
            <w:t xml:space="preserve">. </w:t>
          </w:r>
          <w:r>
            <w:rPr>
              <w:rFonts w:hint="eastAsia"/>
              <w:lang w:val="en-US" w:eastAsia="zh-CN"/>
            </w:rPr>
            <w:t>1</w:t>
          </w:r>
          <w:r>
            <w:rPr>
              <w:rFonts w:hint="default"/>
              <w:lang w:val="en-US" w:eastAsia="zh-CN"/>
            </w:rPr>
            <w:t>环境管理体系</w:t>
          </w:r>
          <w:r>
            <w:tab/>
          </w:r>
          <w:r>
            <w:fldChar w:fldCharType="begin"/>
          </w:r>
          <w:r>
            <w:instrText xml:space="preserve"> PAGEREF _Toc16825 \h </w:instrText>
          </w:r>
          <w:r>
            <w:fldChar w:fldCharType="separate"/>
          </w:r>
          <w:r>
            <w:t>10</w:t>
          </w:r>
          <w:r>
            <w:fldChar w:fldCharType="end"/>
          </w:r>
          <w:r>
            <w:rPr>
              <w:szCs w:val="28"/>
            </w:rPr>
            <w:fldChar w:fldCharType="end"/>
          </w:r>
        </w:p>
        <w:p w14:paraId="09ECCB86">
          <w:pPr>
            <w:pStyle w:val="9"/>
            <w:tabs>
              <w:tab w:val="right" w:leader="dot" w:pos="8306"/>
            </w:tabs>
          </w:pPr>
          <w:r>
            <w:rPr>
              <w:szCs w:val="28"/>
            </w:rPr>
            <w:fldChar w:fldCharType="begin"/>
          </w:r>
          <w:r>
            <w:rPr>
              <w:szCs w:val="28"/>
            </w:rPr>
            <w:instrText xml:space="preserve"> HYPERLINK \l _Toc21767 </w:instrText>
          </w:r>
          <w:r>
            <w:rPr>
              <w:szCs w:val="28"/>
            </w:rPr>
            <w:fldChar w:fldCharType="separate"/>
          </w:r>
          <w:r>
            <w:rPr>
              <w:rFonts w:hint="eastAsia"/>
              <w:lang w:val="en-US" w:eastAsia="zh-CN"/>
            </w:rPr>
            <w:t>6.2</w:t>
          </w:r>
          <w:r>
            <w:rPr>
              <w:rFonts w:hint="default"/>
              <w:lang w:val="en-US" w:eastAsia="zh-CN"/>
            </w:rPr>
            <w:t>资源综合利用</w:t>
          </w:r>
          <w:r>
            <w:tab/>
          </w:r>
          <w:r>
            <w:fldChar w:fldCharType="begin"/>
          </w:r>
          <w:r>
            <w:instrText xml:space="preserve"> PAGEREF _Toc21767 \h </w:instrText>
          </w:r>
          <w:r>
            <w:fldChar w:fldCharType="separate"/>
          </w:r>
          <w:r>
            <w:t>12</w:t>
          </w:r>
          <w:r>
            <w:fldChar w:fldCharType="end"/>
          </w:r>
          <w:r>
            <w:rPr>
              <w:szCs w:val="28"/>
            </w:rPr>
            <w:fldChar w:fldCharType="end"/>
          </w:r>
        </w:p>
        <w:p w14:paraId="7BA8D0B9">
          <w:pPr>
            <w:pStyle w:val="8"/>
            <w:tabs>
              <w:tab w:val="right" w:leader="dot" w:pos="8306"/>
            </w:tabs>
          </w:pPr>
          <w:r>
            <w:rPr>
              <w:szCs w:val="28"/>
            </w:rPr>
            <w:fldChar w:fldCharType="begin"/>
          </w:r>
          <w:r>
            <w:rPr>
              <w:szCs w:val="28"/>
            </w:rPr>
            <w:instrText xml:space="preserve"> HYPERLINK \l _Toc20417 </w:instrText>
          </w:r>
          <w:r>
            <w:rPr>
              <w:szCs w:val="28"/>
            </w:rPr>
            <w:fldChar w:fldCharType="separate"/>
          </w:r>
          <w:r>
            <w:rPr>
              <w:rFonts w:hint="eastAsia"/>
              <w:lang w:val="en-US" w:eastAsia="zh-CN"/>
            </w:rPr>
            <w:t>七、 安全生产</w:t>
          </w:r>
          <w:r>
            <w:tab/>
          </w:r>
          <w:r>
            <w:fldChar w:fldCharType="begin"/>
          </w:r>
          <w:r>
            <w:instrText xml:space="preserve"> PAGEREF _Toc20417 \h </w:instrText>
          </w:r>
          <w:r>
            <w:fldChar w:fldCharType="separate"/>
          </w:r>
          <w:r>
            <w:t>12</w:t>
          </w:r>
          <w:r>
            <w:fldChar w:fldCharType="end"/>
          </w:r>
          <w:r>
            <w:rPr>
              <w:szCs w:val="28"/>
            </w:rPr>
            <w:fldChar w:fldCharType="end"/>
          </w:r>
        </w:p>
        <w:p w14:paraId="0847B337">
          <w:pPr>
            <w:pStyle w:val="8"/>
            <w:tabs>
              <w:tab w:val="right" w:leader="dot" w:pos="8306"/>
            </w:tabs>
          </w:pPr>
          <w:r>
            <w:rPr>
              <w:szCs w:val="28"/>
            </w:rPr>
            <w:fldChar w:fldCharType="begin"/>
          </w:r>
          <w:r>
            <w:rPr>
              <w:szCs w:val="28"/>
            </w:rPr>
            <w:instrText xml:space="preserve"> HYPERLINK \l _Toc12886 </w:instrText>
          </w:r>
          <w:r>
            <w:rPr>
              <w:szCs w:val="28"/>
            </w:rPr>
            <w:fldChar w:fldCharType="separate"/>
          </w:r>
          <w:r>
            <w:rPr>
              <w:rFonts w:hint="eastAsia"/>
              <w:lang w:val="en-US" w:eastAsia="zh-CN"/>
            </w:rPr>
            <w:t>八、 员工权益与发展</w:t>
          </w:r>
          <w:r>
            <w:tab/>
          </w:r>
          <w:r>
            <w:fldChar w:fldCharType="begin"/>
          </w:r>
          <w:r>
            <w:instrText xml:space="preserve"> PAGEREF _Toc12886 \h </w:instrText>
          </w:r>
          <w:r>
            <w:fldChar w:fldCharType="separate"/>
          </w:r>
          <w:r>
            <w:t>12</w:t>
          </w:r>
          <w:r>
            <w:fldChar w:fldCharType="end"/>
          </w:r>
          <w:r>
            <w:rPr>
              <w:szCs w:val="28"/>
            </w:rPr>
            <w:fldChar w:fldCharType="end"/>
          </w:r>
        </w:p>
        <w:p w14:paraId="5BC859F3">
          <w:pPr>
            <w:pStyle w:val="9"/>
            <w:tabs>
              <w:tab w:val="right" w:leader="dot" w:pos="8306"/>
            </w:tabs>
            <w:rPr>
              <w:rFonts w:hint="eastAsia" w:eastAsia="宋体"/>
              <w:lang w:val="en-US" w:eastAsia="zh-CN"/>
            </w:rPr>
          </w:pPr>
          <w:r>
            <w:rPr>
              <w:szCs w:val="28"/>
            </w:rPr>
            <w:fldChar w:fldCharType="begin"/>
          </w:r>
          <w:r>
            <w:rPr>
              <w:szCs w:val="28"/>
            </w:rPr>
            <w:instrText xml:space="preserve"> HYPERLINK \l _Toc63 </w:instrText>
          </w:r>
          <w:r>
            <w:rPr>
              <w:szCs w:val="28"/>
            </w:rPr>
            <w:fldChar w:fldCharType="separate"/>
          </w:r>
          <w:r>
            <w:rPr>
              <w:rFonts w:hint="eastAsia"/>
              <w:lang w:val="en-US" w:eastAsia="zh-CN"/>
            </w:rPr>
            <w:t>8.1</w:t>
          </w:r>
          <w:r>
            <w:rPr>
              <w:rFonts w:hint="default"/>
              <w:lang w:val="en-US" w:eastAsia="zh-CN"/>
            </w:rPr>
            <w:t>.人员结构概况</w:t>
          </w:r>
          <w:r>
            <w:tab/>
          </w:r>
          <w:r>
            <w:rPr>
              <w:rFonts w:hint="eastAsia"/>
              <w:lang w:val="en-US" w:eastAsia="zh-CN"/>
            </w:rPr>
            <w:t>1</w:t>
          </w:r>
          <w:r>
            <w:rPr>
              <w:szCs w:val="28"/>
            </w:rPr>
            <w:fldChar w:fldCharType="end"/>
          </w:r>
          <w:r>
            <w:rPr>
              <w:rFonts w:hint="eastAsia"/>
              <w:szCs w:val="28"/>
              <w:lang w:val="en-US" w:eastAsia="zh-CN"/>
            </w:rPr>
            <w:t>2</w:t>
          </w:r>
        </w:p>
        <w:p w14:paraId="4653C55F">
          <w:pPr>
            <w:pStyle w:val="9"/>
            <w:tabs>
              <w:tab w:val="right" w:leader="dot" w:pos="8306"/>
            </w:tabs>
            <w:rPr>
              <w:rFonts w:hint="eastAsia" w:eastAsia="宋体"/>
              <w:lang w:val="en-US" w:eastAsia="zh-CN"/>
            </w:rPr>
          </w:pPr>
          <w:r>
            <w:rPr>
              <w:szCs w:val="28"/>
            </w:rPr>
            <w:fldChar w:fldCharType="begin"/>
          </w:r>
          <w:r>
            <w:rPr>
              <w:szCs w:val="28"/>
            </w:rPr>
            <w:instrText xml:space="preserve"> HYPERLINK \l _Toc11195 </w:instrText>
          </w:r>
          <w:r>
            <w:rPr>
              <w:szCs w:val="28"/>
            </w:rPr>
            <w:fldChar w:fldCharType="separate"/>
          </w:r>
          <w:r>
            <w:rPr>
              <w:rFonts w:hint="eastAsia"/>
              <w:lang w:val="en-US" w:eastAsia="zh-CN"/>
            </w:rPr>
            <w:t>8.2</w:t>
          </w:r>
          <w:r>
            <w:rPr>
              <w:rFonts w:hint="default"/>
              <w:lang w:val="en-US" w:eastAsia="zh-CN"/>
            </w:rPr>
            <w:t>薪酬福利保障</w:t>
          </w:r>
          <w:r>
            <w:tab/>
          </w:r>
          <w:r>
            <w:rPr>
              <w:rFonts w:hint="eastAsia"/>
              <w:lang w:val="en-US" w:eastAsia="zh-CN"/>
            </w:rPr>
            <w:t>1</w:t>
          </w:r>
          <w:r>
            <w:rPr>
              <w:szCs w:val="28"/>
            </w:rPr>
            <w:fldChar w:fldCharType="end"/>
          </w:r>
          <w:r>
            <w:rPr>
              <w:rFonts w:hint="eastAsia"/>
              <w:szCs w:val="28"/>
              <w:lang w:val="en-US" w:eastAsia="zh-CN"/>
            </w:rPr>
            <w:t>2</w:t>
          </w:r>
        </w:p>
        <w:p w14:paraId="026F428B">
          <w:pPr>
            <w:pStyle w:val="9"/>
            <w:tabs>
              <w:tab w:val="right" w:leader="dot" w:pos="8306"/>
            </w:tabs>
            <w:rPr>
              <w:rFonts w:hint="eastAsia" w:eastAsia="宋体"/>
              <w:lang w:val="en-US" w:eastAsia="zh-CN"/>
            </w:rPr>
          </w:pPr>
          <w:r>
            <w:rPr>
              <w:szCs w:val="28"/>
            </w:rPr>
            <w:fldChar w:fldCharType="begin"/>
          </w:r>
          <w:r>
            <w:rPr>
              <w:szCs w:val="28"/>
            </w:rPr>
            <w:instrText xml:space="preserve"> HYPERLINK \l _Toc18188 </w:instrText>
          </w:r>
          <w:r>
            <w:rPr>
              <w:szCs w:val="28"/>
            </w:rPr>
            <w:fldChar w:fldCharType="separate"/>
          </w:r>
          <w:r>
            <w:rPr>
              <w:rFonts w:hint="eastAsia"/>
              <w:lang w:val="en-US" w:eastAsia="zh-CN"/>
            </w:rPr>
            <w:t>8.</w:t>
          </w:r>
          <w:r>
            <w:rPr>
              <w:rFonts w:hint="default"/>
              <w:lang w:val="en-US" w:eastAsia="zh-CN"/>
            </w:rPr>
            <w:t>3 员工福利投入</w:t>
          </w:r>
          <w:r>
            <w:tab/>
          </w:r>
          <w:r>
            <w:rPr>
              <w:rFonts w:hint="eastAsia"/>
              <w:lang w:val="en-US" w:eastAsia="zh-CN"/>
            </w:rPr>
            <w:t>1</w:t>
          </w:r>
          <w:r>
            <w:rPr>
              <w:szCs w:val="28"/>
            </w:rPr>
            <w:fldChar w:fldCharType="end"/>
          </w:r>
          <w:r>
            <w:rPr>
              <w:rFonts w:hint="eastAsia"/>
              <w:szCs w:val="28"/>
              <w:lang w:val="en-US" w:eastAsia="zh-CN"/>
            </w:rPr>
            <w:t>3</w:t>
          </w:r>
        </w:p>
        <w:p w14:paraId="57DEA325">
          <w:pPr>
            <w:pStyle w:val="8"/>
            <w:tabs>
              <w:tab w:val="right" w:leader="dot" w:pos="8306"/>
            </w:tabs>
          </w:pPr>
          <w:r>
            <w:rPr>
              <w:szCs w:val="28"/>
            </w:rPr>
            <w:fldChar w:fldCharType="begin"/>
          </w:r>
          <w:r>
            <w:rPr>
              <w:szCs w:val="28"/>
            </w:rPr>
            <w:instrText xml:space="preserve"> HYPERLINK \l _Toc17272 </w:instrText>
          </w:r>
          <w:r>
            <w:rPr>
              <w:szCs w:val="28"/>
            </w:rPr>
            <w:fldChar w:fldCharType="separate"/>
          </w:r>
          <w:r>
            <w:rPr>
              <w:rFonts w:hint="default"/>
              <w:lang w:val="en-US" w:eastAsia="zh-CN"/>
            </w:rPr>
            <w:t>九、社会责任实践与公益支持</w:t>
          </w:r>
          <w:r>
            <w:tab/>
          </w:r>
          <w:r>
            <w:fldChar w:fldCharType="begin"/>
          </w:r>
          <w:r>
            <w:instrText xml:space="preserve"> PAGEREF _Toc17272 \h </w:instrText>
          </w:r>
          <w:r>
            <w:fldChar w:fldCharType="separate"/>
          </w:r>
          <w:r>
            <w:t>14</w:t>
          </w:r>
          <w:r>
            <w:fldChar w:fldCharType="end"/>
          </w:r>
          <w:r>
            <w:rPr>
              <w:szCs w:val="28"/>
            </w:rPr>
            <w:fldChar w:fldCharType="end"/>
          </w:r>
        </w:p>
        <w:p w14:paraId="5B1C5CBB">
          <w:pPr>
            <w:pStyle w:val="9"/>
            <w:tabs>
              <w:tab w:val="right" w:leader="dot" w:pos="8306"/>
            </w:tabs>
          </w:pPr>
          <w:r>
            <w:rPr>
              <w:szCs w:val="28"/>
            </w:rPr>
            <w:fldChar w:fldCharType="begin"/>
          </w:r>
          <w:r>
            <w:rPr>
              <w:szCs w:val="28"/>
            </w:rPr>
            <w:instrText xml:space="preserve"> HYPERLINK \l _Toc11276 </w:instrText>
          </w:r>
          <w:r>
            <w:rPr>
              <w:szCs w:val="28"/>
            </w:rPr>
            <w:fldChar w:fldCharType="separate"/>
          </w:r>
          <w:r>
            <w:rPr>
              <w:rFonts w:hint="default"/>
              <w:lang w:val="en-US" w:eastAsia="zh-CN"/>
            </w:rPr>
            <w:t>9.1 安全责任践行</w:t>
          </w:r>
          <w:r>
            <w:tab/>
          </w:r>
          <w:r>
            <w:fldChar w:fldCharType="begin"/>
          </w:r>
          <w:r>
            <w:instrText xml:space="preserve"> PAGEREF _Toc11276 \h </w:instrText>
          </w:r>
          <w:r>
            <w:fldChar w:fldCharType="separate"/>
          </w:r>
          <w:r>
            <w:t>14</w:t>
          </w:r>
          <w:r>
            <w:fldChar w:fldCharType="end"/>
          </w:r>
          <w:r>
            <w:rPr>
              <w:szCs w:val="28"/>
            </w:rPr>
            <w:fldChar w:fldCharType="end"/>
          </w:r>
        </w:p>
        <w:p w14:paraId="1F2C9AFD">
          <w:pPr>
            <w:pStyle w:val="9"/>
            <w:tabs>
              <w:tab w:val="right" w:leader="dot" w:pos="8306"/>
            </w:tabs>
          </w:pPr>
          <w:r>
            <w:rPr>
              <w:szCs w:val="28"/>
            </w:rPr>
            <w:fldChar w:fldCharType="begin"/>
          </w:r>
          <w:r>
            <w:rPr>
              <w:szCs w:val="28"/>
            </w:rPr>
            <w:instrText xml:space="preserve"> HYPERLINK \l _Toc15864 </w:instrText>
          </w:r>
          <w:r>
            <w:rPr>
              <w:szCs w:val="28"/>
            </w:rPr>
            <w:fldChar w:fldCharType="separate"/>
          </w:r>
          <w:r>
            <w:rPr>
              <w:rFonts w:hint="default"/>
              <w:lang w:val="en-US" w:eastAsia="zh-CN"/>
            </w:rPr>
            <w:t>9.2 员工责任落实</w:t>
          </w:r>
          <w:r>
            <w:tab/>
          </w:r>
          <w:r>
            <w:fldChar w:fldCharType="begin"/>
          </w:r>
          <w:r>
            <w:instrText xml:space="preserve"> PAGEREF _Toc15864 \h </w:instrText>
          </w:r>
          <w:r>
            <w:fldChar w:fldCharType="separate"/>
          </w:r>
          <w:r>
            <w:t>15</w:t>
          </w:r>
          <w:r>
            <w:fldChar w:fldCharType="end"/>
          </w:r>
          <w:r>
            <w:rPr>
              <w:szCs w:val="28"/>
            </w:rPr>
            <w:fldChar w:fldCharType="end"/>
          </w:r>
        </w:p>
        <w:p w14:paraId="1E06C46F">
          <w:pPr>
            <w:pStyle w:val="9"/>
            <w:tabs>
              <w:tab w:val="right" w:leader="dot" w:pos="8306"/>
            </w:tabs>
          </w:pPr>
          <w:r>
            <w:rPr>
              <w:szCs w:val="28"/>
            </w:rPr>
            <w:fldChar w:fldCharType="begin"/>
          </w:r>
          <w:r>
            <w:rPr>
              <w:szCs w:val="28"/>
            </w:rPr>
            <w:instrText xml:space="preserve"> HYPERLINK \l _Toc13738 </w:instrText>
          </w:r>
          <w:r>
            <w:rPr>
              <w:szCs w:val="28"/>
            </w:rPr>
            <w:fldChar w:fldCharType="separate"/>
          </w:r>
          <w:r>
            <w:rPr>
              <w:rFonts w:hint="default"/>
              <w:lang w:val="en-US" w:eastAsia="zh-CN"/>
            </w:rPr>
            <w:t>9.3 公益责任履行</w:t>
          </w:r>
          <w:r>
            <w:tab/>
          </w:r>
          <w:r>
            <w:fldChar w:fldCharType="begin"/>
          </w:r>
          <w:r>
            <w:instrText xml:space="preserve"> PAGEREF _Toc13738 \h </w:instrText>
          </w:r>
          <w:r>
            <w:fldChar w:fldCharType="separate"/>
          </w:r>
          <w:r>
            <w:t>15</w:t>
          </w:r>
          <w:r>
            <w:fldChar w:fldCharType="end"/>
          </w:r>
          <w:r>
            <w:rPr>
              <w:szCs w:val="28"/>
            </w:rPr>
            <w:fldChar w:fldCharType="end"/>
          </w:r>
        </w:p>
        <w:p w14:paraId="06646B05">
          <w:pPr>
            <w:pStyle w:val="8"/>
            <w:tabs>
              <w:tab w:val="right" w:leader="dot" w:pos="8306"/>
            </w:tabs>
          </w:pPr>
          <w:r>
            <w:rPr>
              <w:szCs w:val="28"/>
            </w:rPr>
            <w:fldChar w:fldCharType="begin"/>
          </w:r>
          <w:r>
            <w:rPr>
              <w:szCs w:val="28"/>
            </w:rPr>
            <w:instrText xml:space="preserve"> HYPERLINK \l _Toc21734 </w:instrText>
          </w:r>
          <w:r>
            <w:rPr>
              <w:szCs w:val="28"/>
            </w:rPr>
            <w:fldChar w:fldCharType="separate"/>
          </w:r>
          <w:r>
            <w:rPr>
              <w:rFonts w:hint="eastAsia"/>
              <w:lang w:val="en-US" w:eastAsia="zh-CN"/>
            </w:rPr>
            <w:t>九、 绩效评价与持续改进</w:t>
          </w:r>
          <w:r>
            <w:tab/>
          </w:r>
          <w:r>
            <w:fldChar w:fldCharType="begin"/>
          </w:r>
          <w:r>
            <w:instrText xml:space="preserve"> PAGEREF _Toc21734 \h </w:instrText>
          </w:r>
          <w:r>
            <w:fldChar w:fldCharType="separate"/>
          </w:r>
          <w:r>
            <w:t>16</w:t>
          </w:r>
          <w:r>
            <w:fldChar w:fldCharType="end"/>
          </w:r>
          <w:r>
            <w:rPr>
              <w:szCs w:val="28"/>
            </w:rPr>
            <w:fldChar w:fldCharType="end"/>
          </w:r>
        </w:p>
        <w:p w14:paraId="0537E2EE">
          <w:pPr>
            <w:pStyle w:val="9"/>
            <w:tabs>
              <w:tab w:val="right" w:leader="dot" w:pos="8306"/>
            </w:tabs>
          </w:pPr>
          <w:r>
            <w:rPr>
              <w:szCs w:val="28"/>
            </w:rPr>
            <w:fldChar w:fldCharType="begin"/>
          </w:r>
          <w:r>
            <w:rPr>
              <w:szCs w:val="28"/>
            </w:rPr>
            <w:instrText xml:space="preserve"> HYPERLINK \l _Toc30757 </w:instrText>
          </w:r>
          <w:r>
            <w:rPr>
              <w:szCs w:val="28"/>
            </w:rPr>
            <w:fldChar w:fldCharType="separate"/>
          </w:r>
          <w:r>
            <w:rPr>
              <w:rFonts w:hint="eastAsia"/>
              <w:lang w:val="en-US" w:eastAsia="zh-CN"/>
            </w:rPr>
            <w:t>10.1 监视、测量与评价</w:t>
          </w:r>
          <w:r>
            <w:tab/>
          </w:r>
          <w:r>
            <w:fldChar w:fldCharType="begin"/>
          </w:r>
          <w:r>
            <w:instrText xml:space="preserve"> PAGEREF _Toc30757 \h </w:instrText>
          </w:r>
          <w:r>
            <w:fldChar w:fldCharType="separate"/>
          </w:r>
          <w:r>
            <w:t>17</w:t>
          </w:r>
          <w:r>
            <w:fldChar w:fldCharType="end"/>
          </w:r>
          <w:r>
            <w:rPr>
              <w:szCs w:val="28"/>
            </w:rPr>
            <w:fldChar w:fldCharType="end"/>
          </w:r>
        </w:p>
        <w:p w14:paraId="566435D0">
          <w:pPr>
            <w:pStyle w:val="9"/>
            <w:tabs>
              <w:tab w:val="right" w:leader="dot" w:pos="8306"/>
            </w:tabs>
          </w:pPr>
          <w:r>
            <w:rPr>
              <w:szCs w:val="28"/>
            </w:rPr>
            <w:fldChar w:fldCharType="begin"/>
          </w:r>
          <w:r>
            <w:rPr>
              <w:szCs w:val="28"/>
            </w:rPr>
            <w:instrText xml:space="preserve"> HYPERLINK \l _Toc4031 </w:instrText>
          </w:r>
          <w:r>
            <w:rPr>
              <w:szCs w:val="28"/>
            </w:rPr>
            <w:fldChar w:fldCharType="separate"/>
          </w:r>
          <w:r>
            <w:rPr>
              <w:rFonts w:hint="eastAsia"/>
              <w:lang w:val="en-US" w:eastAsia="zh-CN"/>
            </w:rPr>
            <w:t>10.2 内部审核与管理评审</w:t>
          </w:r>
          <w:r>
            <w:tab/>
          </w:r>
          <w:r>
            <w:fldChar w:fldCharType="begin"/>
          </w:r>
          <w:r>
            <w:instrText xml:space="preserve"> PAGEREF _Toc4031 \h </w:instrText>
          </w:r>
          <w:r>
            <w:fldChar w:fldCharType="separate"/>
          </w:r>
          <w:r>
            <w:t>17</w:t>
          </w:r>
          <w:r>
            <w:fldChar w:fldCharType="end"/>
          </w:r>
          <w:r>
            <w:rPr>
              <w:szCs w:val="28"/>
            </w:rPr>
            <w:fldChar w:fldCharType="end"/>
          </w:r>
        </w:p>
        <w:p w14:paraId="19B8DBF6">
          <w:pPr>
            <w:pStyle w:val="9"/>
            <w:tabs>
              <w:tab w:val="right" w:leader="dot" w:pos="8306"/>
            </w:tabs>
          </w:pPr>
          <w:r>
            <w:rPr>
              <w:szCs w:val="28"/>
            </w:rPr>
            <w:fldChar w:fldCharType="begin"/>
          </w:r>
          <w:r>
            <w:rPr>
              <w:szCs w:val="28"/>
            </w:rPr>
            <w:instrText xml:space="preserve"> HYPERLINK \l _Toc30815 </w:instrText>
          </w:r>
          <w:r>
            <w:rPr>
              <w:szCs w:val="28"/>
            </w:rPr>
            <w:fldChar w:fldCharType="separate"/>
          </w:r>
          <w:r>
            <w:rPr>
              <w:rFonts w:hint="eastAsia"/>
              <w:lang w:val="en-US" w:eastAsia="zh-CN"/>
            </w:rPr>
            <w:t>10.3 持续改进措施</w:t>
          </w:r>
          <w:r>
            <w:tab/>
          </w:r>
          <w:r>
            <w:fldChar w:fldCharType="begin"/>
          </w:r>
          <w:r>
            <w:instrText xml:space="preserve"> PAGEREF _Toc30815 \h </w:instrText>
          </w:r>
          <w:r>
            <w:fldChar w:fldCharType="separate"/>
          </w:r>
          <w:r>
            <w:t>17</w:t>
          </w:r>
          <w:r>
            <w:fldChar w:fldCharType="end"/>
          </w:r>
          <w:r>
            <w:rPr>
              <w:szCs w:val="28"/>
            </w:rPr>
            <w:fldChar w:fldCharType="end"/>
          </w:r>
        </w:p>
        <w:p w14:paraId="6E8B5F9C">
          <w:pPr>
            <w:pStyle w:val="9"/>
            <w:tabs>
              <w:tab w:val="right" w:leader="dot" w:pos="8306"/>
            </w:tabs>
          </w:pPr>
          <w:r>
            <w:rPr>
              <w:szCs w:val="28"/>
            </w:rPr>
            <w:fldChar w:fldCharType="begin"/>
          </w:r>
          <w:r>
            <w:rPr>
              <w:szCs w:val="28"/>
            </w:rPr>
            <w:instrText xml:space="preserve"> HYPERLINK \l _Toc21989 </w:instrText>
          </w:r>
          <w:r>
            <w:rPr>
              <w:szCs w:val="28"/>
            </w:rPr>
            <w:fldChar w:fldCharType="separate"/>
          </w:r>
          <w:r>
            <w:rPr>
              <w:rFonts w:hint="eastAsia"/>
              <w:lang w:val="en-US" w:eastAsia="zh-CN"/>
            </w:rPr>
            <w:t>十一、 结语</w:t>
          </w:r>
          <w:r>
            <w:tab/>
          </w:r>
          <w:r>
            <w:fldChar w:fldCharType="begin"/>
          </w:r>
          <w:r>
            <w:instrText xml:space="preserve"> PAGEREF _Toc21989 \h </w:instrText>
          </w:r>
          <w:r>
            <w:fldChar w:fldCharType="separate"/>
          </w:r>
          <w:r>
            <w:t>18</w:t>
          </w:r>
          <w:r>
            <w:fldChar w:fldCharType="end"/>
          </w:r>
          <w:r>
            <w:rPr>
              <w:szCs w:val="28"/>
            </w:rPr>
            <w:fldChar w:fldCharType="end"/>
          </w:r>
        </w:p>
        <w:p w14:paraId="6A8948CD">
          <w:pPr>
            <w:keepNext w:val="0"/>
            <w:keepLines w:val="0"/>
            <w:pageBreakBefore w:val="0"/>
            <w:widowControl w:val="0"/>
            <w:kinsoku/>
            <w:wordWrap/>
            <w:overflowPunct/>
            <w:topLinePunct w:val="0"/>
            <w:autoSpaceDE/>
            <w:autoSpaceDN/>
            <w:bidi w:val="0"/>
            <w:adjustRightInd/>
            <w:snapToGrid/>
            <w:textAlignment w:val="auto"/>
            <w:rPr>
              <w:rFonts w:hint="eastAsia"/>
              <w:lang w:val="en-US" w:eastAsia="zh-CN"/>
            </w:rPr>
            <w:sectPr>
              <w:pgSz w:w="11906" w:h="16838"/>
              <w:pgMar w:top="1440" w:right="1800" w:bottom="1440" w:left="1800" w:header="851" w:footer="992" w:gutter="0"/>
              <w:cols w:space="425" w:num="1"/>
              <w:docGrid w:type="lines" w:linePitch="312" w:charSpace="0"/>
            </w:sectPr>
          </w:pPr>
          <w:r>
            <w:rPr>
              <w:szCs w:val="28"/>
            </w:rPr>
            <w:fldChar w:fldCharType="end"/>
          </w:r>
        </w:p>
      </w:sdtContent>
    </w:sdt>
    <w:p w14:paraId="1224C98F">
      <w:pPr>
        <w:pStyle w:val="2"/>
        <w:numPr>
          <w:ilvl w:val="0"/>
          <w:numId w:val="0"/>
        </w:numPr>
        <w:bidi w:val="0"/>
        <w:jc w:val="left"/>
        <w:rPr>
          <w:rFonts w:hint="default"/>
          <w:lang w:val="en-US" w:eastAsia="zh-CN"/>
        </w:rPr>
      </w:pPr>
      <w:bookmarkStart w:id="2" w:name="_Toc10246"/>
      <w:r>
        <w:rPr>
          <w:rFonts w:hint="eastAsia"/>
          <w:lang w:val="en-US" w:eastAsia="zh-CN"/>
        </w:rPr>
        <w:t>一、</w:t>
      </w:r>
      <w:r>
        <w:rPr>
          <w:rFonts w:hint="default"/>
          <w:lang w:val="en-US" w:eastAsia="zh-CN"/>
        </w:rPr>
        <w:t>组织所处环境与社会责任议题识别</w:t>
      </w:r>
      <w:bookmarkEnd w:id="2"/>
    </w:p>
    <w:p w14:paraId="768B1DA5">
      <w:pPr>
        <w:pStyle w:val="3"/>
        <w:bidi w:val="0"/>
        <w:rPr>
          <w:rFonts w:hint="default"/>
          <w:lang w:val="en-US" w:eastAsia="zh-CN"/>
        </w:rPr>
      </w:pPr>
      <w:bookmarkStart w:id="3" w:name="_Toc29677"/>
      <w:r>
        <w:rPr>
          <w:rFonts w:hint="default"/>
          <w:lang w:val="en-US" w:eastAsia="zh-CN"/>
        </w:rPr>
        <w:t>1.1 组织特征与社会责任关联</w:t>
      </w:r>
      <w:bookmarkEnd w:id="3"/>
    </w:p>
    <w:p w14:paraId="38AD0B7B">
      <w:pPr>
        <w:keepNext w:val="0"/>
        <w:keepLines w:val="0"/>
        <w:pageBreakBefore w:val="0"/>
        <w:widowControl w:val="0"/>
        <w:kinsoku/>
        <w:wordWrap/>
        <w:overflowPunct/>
        <w:topLinePunct w:val="0"/>
        <w:autoSpaceDE/>
        <w:autoSpaceDN/>
        <w:bidi w:val="0"/>
        <w:adjustRightInd/>
        <w:snapToGrid/>
        <w:ind w:firstLine="560" w:firstLineChars="200"/>
        <w:textAlignment w:val="auto"/>
      </w:pPr>
      <w:r>
        <w:rPr>
          <w:rFonts w:hint="default"/>
          <w:lang w:val="en-US" w:eastAsia="zh-CN"/>
        </w:rPr>
        <w:t>徐州市永康电子科技有限公司自2005年成立以来，已发展成为一家集研发、制造、销售与服务于一体的国家高新技术企业和江苏省专精特新中小企业。我们的组织特征深刻地定义了社会责任的内涵与方向，二者紧密关联、相辅相成，具体体现在以下层面：</w:t>
      </w:r>
      <w:bookmarkStart w:id="4" w:name="_Toc31768"/>
    </w:p>
    <w:p w14:paraId="17041A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 xml:space="preserve">● </w:t>
      </w:r>
      <w:r>
        <w:rPr>
          <w:rFonts w:hint="default"/>
          <w:lang w:val="en-US" w:eastAsia="zh-CN"/>
        </w:rPr>
        <w:t>产品安全责任：专注于家用、医用及宠物医疗设备，严格执行国内外法规与标准，确保产品安全可靠，履行健康守护使命。</w:t>
      </w:r>
    </w:p>
    <w:p w14:paraId="3919CCA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 xml:space="preserve">● </w:t>
      </w:r>
      <w:r>
        <w:rPr>
          <w:rFonts w:hint="default"/>
          <w:lang w:val="en-US" w:eastAsia="zh-CN"/>
        </w:rPr>
        <w:t>技术创新责任：依托省级研发平台和300余项知识产权，推动行业进步，促进公共健康。</w:t>
      </w:r>
    </w:p>
    <w:p w14:paraId="7C26AB8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 xml:space="preserve">● </w:t>
      </w:r>
      <w:r>
        <w:rPr>
          <w:rFonts w:hint="default"/>
          <w:lang w:val="en-US" w:eastAsia="zh-CN"/>
        </w:rPr>
        <w:t>环保责任：拥有近4万平方米智能制造基地，实施ISO14001体系，推行绿色制造，降低生产对环境的影响。</w:t>
      </w:r>
    </w:p>
    <w:p w14:paraId="0243C7E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 xml:space="preserve">● </w:t>
      </w:r>
      <w:r>
        <w:rPr>
          <w:rFonts w:hint="default"/>
          <w:lang w:val="en-US" w:eastAsia="zh-CN"/>
        </w:rPr>
        <w:t>全球合规责任：产品销往140多个国家和地区，遵守国际法规与商业伦理，树立中国企业负责任形象。</w:t>
      </w:r>
    </w:p>
    <w:p w14:paraId="54C8AD9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 xml:space="preserve">● </w:t>
      </w:r>
      <w:r>
        <w:rPr>
          <w:rFonts w:hint="default"/>
          <w:lang w:val="en-US" w:eastAsia="zh-CN"/>
        </w:rPr>
        <w:t>员工权益责任：保障员工合法权益，健全职业健康与培训发展机制。</w:t>
      </w:r>
    </w:p>
    <w:p w14:paraId="32787A5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eastAsia"/>
          <w:lang w:val="en-US" w:eastAsia="zh-CN"/>
        </w:rPr>
        <w:t xml:space="preserve">● </w:t>
      </w:r>
      <w:r>
        <w:rPr>
          <w:rFonts w:hint="default"/>
          <w:lang w:val="en-US" w:eastAsia="zh-CN"/>
        </w:rPr>
        <w:t>供应链责任：发挥产业链中游整合能力，推动上下游合作伙伴践行社会责任。</w:t>
      </w:r>
    </w:p>
    <w:p w14:paraId="662B37A5">
      <w:pPr>
        <w:pStyle w:val="3"/>
        <w:keepNext w:val="0"/>
        <w:keepLines w:val="0"/>
        <w:widowControl/>
        <w:suppressLineNumbers w:val="0"/>
        <w:shd w:val="clear" w:fill="FFFFFF"/>
        <w:spacing w:before="320" w:beforeAutospacing="0" w:after="160" w:afterAutospacing="0"/>
        <w:ind w:left="0" w:right="0" w:firstLine="0"/>
        <w:rPr>
          <w:rFonts w:hint="default" w:ascii="Segoe UI" w:hAnsi="Segoe UI" w:eastAsia="Segoe UI" w:cs="Segoe UI"/>
          <w:i w:val="0"/>
          <w:iCs w:val="0"/>
          <w:caps w:val="0"/>
          <w:color w:val="0F1115"/>
          <w:spacing w:val="0"/>
        </w:rPr>
      </w:pPr>
      <w:r>
        <w:rPr>
          <w:rFonts w:hint="default" w:ascii="Segoe UI" w:hAnsi="Segoe UI" w:eastAsia="Segoe UI" w:cs="Segoe UI"/>
          <w:i w:val="0"/>
          <w:iCs w:val="0"/>
          <w:caps w:val="0"/>
          <w:color w:val="0F1115"/>
          <w:spacing w:val="0"/>
          <w:shd w:val="clear" w:fill="FFFFFF"/>
        </w:rPr>
        <w:t>1.2 关键社会责任议题辨识</w:t>
      </w:r>
    </w:p>
    <w:bookmarkEnd w:id="4"/>
    <w:p w14:paraId="630E922A">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default" w:eastAsia="宋体" w:asciiTheme="minorAscii" w:hAnsiTheme="minorAscii" w:cstheme="minorBidi"/>
          <w:kern w:val="2"/>
          <w:sz w:val="28"/>
          <w:szCs w:val="24"/>
          <w:lang w:val="en-US" w:eastAsia="zh-CN" w:bidi="ar-SA"/>
        </w:rPr>
      </w:pPr>
      <w:bookmarkStart w:id="5" w:name="_Toc22243"/>
      <w:r>
        <w:rPr>
          <w:rFonts w:hint="default" w:eastAsia="宋体" w:asciiTheme="minorAscii" w:hAnsiTheme="minorAscii" w:cstheme="minorBidi"/>
          <w:kern w:val="2"/>
          <w:sz w:val="28"/>
          <w:szCs w:val="24"/>
          <w:lang w:val="en-US" w:eastAsia="zh-CN" w:bidi="ar-SA"/>
        </w:rPr>
        <w:t>结合医疗器械行业特性及利益相关方需求，公司识别出以下核心议题及优先顺序：</w:t>
      </w:r>
    </w:p>
    <w:p w14:paraId="01A4349C">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default" w:eastAsia="宋体" w:asciiTheme="minorAscii" w:hAnsiTheme="minorAscii" w:cstheme="minorBidi"/>
          <w:kern w:val="2"/>
          <w:sz w:val="28"/>
          <w:szCs w:val="24"/>
          <w:lang w:val="en-US" w:eastAsia="zh-CN" w:bidi="ar-SA"/>
        </w:rPr>
      </w:pPr>
      <w:r>
        <w:rPr>
          <w:rFonts w:hint="default" w:eastAsia="宋体" w:asciiTheme="minorAscii" w:hAnsiTheme="minorAscii" w:cstheme="minorBidi"/>
          <w:kern w:val="2"/>
          <w:sz w:val="28"/>
          <w:szCs w:val="24"/>
          <w:lang w:val="en-US" w:eastAsia="zh-CN" w:bidi="ar-SA"/>
        </w:rPr>
        <w:t>核心议题：组织治理、产品质量安全、员工职业健康、供应链责任、社区医疗支持。</w:t>
      </w:r>
    </w:p>
    <w:p w14:paraId="09AB1EF7">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default" w:eastAsia="宋体" w:asciiTheme="minorAscii" w:hAnsiTheme="minorAscii" w:cstheme="minorBidi"/>
          <w:kern w:val="2"/>
          <w:sz w:val="28"/>
          <w:szCs w:val="24"/>
          <w:lang w:val="en-US" w:eastAsia="zh-CN" w:bidi="ar-SA"/>
        </w:rPr>
      </w:pPr>
      <w:r>
        <w:rPr>
          <w:rFonts w:hint="default" w:eastAsia="宋体" w:asciiTheme="minorAscii" w:hAnsiTheme="minorAscii" w:cstheme="minorBidi"/>
          <w:kern w:val="2"/>
          <w:sz w:val="28"/>
          <w:szCs w:val="24"/>
          <w:lang w:val="en-US" w:eastAsia="zh-CN" w:bidi="ar-SA"/>
        </w:rPr>
        <w:t>优先事项：产品质量安全（直接关联患者健康）和员工职业健康（生产环节存在特定风险）。议题管理已纳入“风险管理控制程序”，实现全过程管控。</w:t>
      </w:r>
    </w:p>
    <w:p w14:paraId="476C7226">
      <w:pPr>
        <w:pStyle w:val="3"/>
        <w:bidi w:val="0"/>
        <w:rPr>
          <w:rFonts w:hint="default"/>
          <w:lang w:val="en-US" w:eastAsia="zh-CN"/>
        </w:rPr>
      </w:pPr>
      <w:r>
        <w:rPr>
          <w:rFonts w:hint="default"/>
          <w:lang w:val="en-US" w:eastAsia="zh-CN"/>
        </w:rPr>
        <w:t>1.3 确定社会责任管理体系范围</w:t>
      </w:r>
      <w:bookmarkEnd w:id="5"/>
    </w:p>
    <w:p w14:paraId="31E5724F">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eastAsia" w:eastAsia="宋体" w:asciiTheme="minorAscii" w:hAnsiTheme="minorAscii" w:cstheme="minorBidi"/>
          <w:kern w:val="2"/>
          <w:sz w:val="28"/>
          <w:szCs w:val="24"/>
          <w:lang w:val="en-US" w:eastAsia="zh-CN" w:bidi="ar-SA"/>
        </w:rPr>
      </w:pPr>
      <w:bookmarkStart w:id="6" w:name="_Toc1996"/>
      <w:r>
        <w:rPr>
          <w:rFonts w:hint="eastAsia" w:eastAsia="宋体" w:asciiTheme="minorAscii" w:hAnsiTheme="minorAscii" w:cstheme="minorBidi"/>
          <w:kern w:val="2"/>
          <w:sz w:val="28"/>
          <w:szCs w:val="24"/>
          <w:lang w:val="en-US" w:eastAsia="zh-CN" w:bidi="ar-SA"/>
        </w:rPr>
        <w:t>公司社会责任管理体系覆盖总部及智能制造基地的全部运营、产品及服务，并与ISO9001、ISO13485、ISO14001、ISO45001等体系深度融合，确保全面有效运行。</w:t>
      </w:r>
    </w:p>
    <w:p w14:paraId="08070512">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default"/>
          <w:b/>
          <w:lang w:val="en-US" w:eastAsia="zh-CN"/>
        </w:rPr>
      </w:pPr>
      <w:r>
        <w:rPr>
          <w:rFonts w:hint="eastAsia"/>
          <w:b/>
          <w:lang w:val="en-US" w:eastAsia="zh-CN"/>
        </w:rPr>
        <w:t>二、</w:t>
      </w:r>
      <w:r>
        <w:rPr>
          <w:rFonts w:hint="default"/>
          <w:b/>
          <w:lang w:val="en-US" w:eastAsia="zh-CN"/>
        </w:rPr>
        <w:t>领导作用与治理架构</w:t>
      </w:r>
      <w:bookmarkEnd w:id="6"/>
    </w:p>
    <w:p w14:paraId="3B0931AF">
      <w:pPr>
        <w:pStyle w:val="3"/>
        <w:bidi w:val="0"/>
        <w:rPr>
          <w:rFonts w:hint="default"/>
          <w:lang w:val="en-US" w:eastAsia="zh-CN"/>
        </w:rPr>
      </w:pPr>
      <w:bookmarkStart w:id="7" w:name="_Toc8102"/>
      <w:r>
        <w:rPr>
          <w:rFonts w:hint="default"/>
          <w:lang w:val="en-US" w:eastAsia="zh-CN"/>
        </w:rPr>
        <w:t>2.1 领导承诺与社会责任方针</w:t>
      </w:r>
      <w:bookmarkEnd w:id="7"/>
    </w:p>
    <w:p w14:paraId="6724C2A0">
      <w:pPr>
        <w:pStyle w:val="10"/>
        <w:keepNext w:val="0"/>
        <w:keepLines w:val="0"/>
        <w:pageBreakBefore w:val="0"/>
        <w:widowControl/>
        <w:suppressLineNumbers w:val="0"/>
        <w:shd w:val="clear" w:fill="FFFFFF"/>
        <w:kinsoku/>
        <w:wordWrap/>
        <w:overflowPunct/>
        <w:topLinePunct w:val="0"/>
        <w:autoSpaceDE/>
        <w:autoSpaceDN/>
        <w:bidi w:val="0"/>
        <w:adjustRightInd/>
        <w:snapToGrid/>
        <w:spacing w:before="0" w:beforeAutospacing="1" w:after="0" w:afterAutospacing="1"/>
        <w:ind w:left="0" w:right="0" w:firstLine="560" w:firstLineChars="200"/>
        <w:textAlignment w:val="auto"/>
        <w:rPr>
          <w:rFonts w:hint="default" w:eastAsia="宋体" w:asciiTheme="minorAscii" w:hAnsiTheme="minorAscii" w:cstheme="minorBidi"/>
          <w:kern w:val="2"/>
          <w:sz w:val="28"/>
          <w:szCs w:val="24"/>
          <w:lang w:val="en-US" w:eastAsia="zh-CN" w:bidi="ar-SA"/>
        </w:rPr>
      </w:pPr>
      <w:r>
        <w:rPr>
          <w:rFonts w:hint="default" w:eastAsia="宋体" w:asciiTheme="minorAscii" w:hAnsiTheme="minorAscii" w:cstheme="minorBidi"/>
          <w:kern w:val="2"/>
          <w:sz w:val="28"/>
          <w:szCs w:val="24"/>
          <w:lang w:val="en-US" w:eastAsia="zh-CN" w:bidi="ar-SA"/>
        </w:rPr>
        <w:t xml:space="preserve">质量是企业的生命线，信用是发展的基石。徐州市永康电子科技有限公司自成立以来，始终将质量和诚信置于经营管理的核心位置，坚定不移地走质量兴企、信用立企之路。我们严格遵循GB/T19001、ISO13485、ISO14971、医疗器械生产质量管理规范以及MDD/MDR等国内外法规标准要求，持续完善质量管理体系，强化过程控制，提升产品品质。我们深知，医疗器械事关人民生命健康，每一台设备、每一个部件都承载着沉甸甸的责任。因此，我们从设计开发、采购、生产制造到售后服务的全过程，都建立了严格的质量控制标准和风险管控措施，确保交付给客户的产品安全、有效、可靠。“科学的质量管理，可靠的医疗产品，优质的售后服务，良好的市场信誉”是我们的质量方针，也是我们对内外的庄严承诺。我们通过建立高效的双向沟通机制，认真倾听客户及各相关方的声音，将他们的需求和期望转化为我们持续改进的动力。 </w:t>
      </w:r>
    </w:p>
    <w:p w14:paraId="232ACA49">
      <w:pPr>
        <w:pStyle w:val="3"/>
        <w:bidi w:val="0"/>
        <w:rPr>
          <w:rFonts w:hint="default"/>
          <w:lang w:val="en-US" w:eastAsia="zh-CN"/>
        </w:rPr>
      </w:pPr>
      <w:bookmarkStart w:id="8" w:name="_Toc19718"/>
      <w:r>
        <w:rPr>
          <w:rFonts w:hint="default"/>
          <w:lang w:val="en-US" w:eastAsia="zh-CN"/>
        </w:rPr>
        <w:t>2.2 组织架构与职责分工</w:t>
      </w:r>
      <w:bookmarkEnd w:id="8"/>
    </w:p>
    <w:p w14:paraId="27FCDC24">
      <w:pPr>
        <w:numPr>
          <w:ilvl w:val="0"/>
          <w:numId w:val="0"/>
        </w:numPr>
        <w:ind w:leftChars="0"/>
        <w:rPr>
          <w:rFonts w:hint="default"/>
          <w:lang w:val="en-US" w:eastAsia="zh-CN"/>
        </w:rPr>
      </w:pPr>
    </w:p>
    <w:p w14:paraId="415FE1A0">
      <w:pPr>
        <w:numPr>
          <w:ilvl w:val="0"/>
          <w:numId w:val="0"/>
        </w:numPr>
        <w:ind w:leftChars="0"/>
        <w:rPr>
          <w:rFonts w:hint="default"/>
          <w:lang w:val="en-US" w:eastAsia="zh-CN"/>
        </w:rPr>
      </w:pPr>
      <w:r>
        <w:rPr>
          <w:rFonts w:hint="default"/>
          <w:lang w:val="en-US" w:eastAsia="zh-CN"/>
        </w:rPr>
        <w:drawing>
          <wp:inline distT="0" distB="0" distL="114300" distR="114300">
            <wp:extent cx="5307330" cy="2824480"/>
            <wp:effectExtent l="0" t="0" r="1270" b="7620"/>
            <wp:docPr id="1" name="图片 1" descr="dda76528-3d3e-464b-888a-5dcc4f524b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da76528-3d3e-464b-888a-5dcc4f524b43"/>
                    <pic:cNvPicPr>
                      <a:picLocks noChangeAspect="1"/>
                    </pic:cNvPicPr>
                  </pic:nvPicPr>
                  <pic:blipFill>
                    <a:blip r:embed="rId6"/>
                    <a:srcRect l="4823" t="365" r="14480" b="-365"/>
                    <a:stretch>
                      <a:fillRect/>
                    </a:stretch>
                  </pic:blipFill>
                  <pic:spPr>
                    <a:xfrm>
                      <a:off x="0" y="0"/>
                      <a:ext cx="5307330" cy="2824480"/>
                    </a:xfrm>
                    <a:prstGeom prst="rect">
                      <a:avLst/>
                    </a:prstGeom>
                  </pic:spPr>
                </pic:pic>
              </a:graphicData>
            </a:graphic>
          </wp:inline>
        </w:drawing>
      </w:r>
    </w:p>
    <w:p w14:paraId="7BB07B1C">
      <w:pPr>
        <w:numPr>
          <w:ilvl w:val="0"/>
          <w:numId w:val="0"/>
        </w:numPr>
        <w:ind w:leftChars="0"/>
        <w:rPr>
          <w:rFonts w:hint="default"/>
          <w:lang w:val="en-US" w:eastAsia="zh-CN"/>
        </w:rPr>
      </w:pPr>
    </w:p>
    <w:p w14:paraId="754BE84D">
      <w:pPr>
        <w:pStyle w:val="2"/>
        <w:keepNext w:val="0"/>
        <w:keepLines w:val="0"/>
        <w:pageBreakBefore w:val="0"/>
        <w:widowControl w:val="0"/>
        <w:numPr>
          <w:ilvl w:val="0"/>
          <w:numId w:val="1"/>
        </w:numPr>
        <w:kinsoku/>
        <w:wordWrap/>
        <w:overflowPunct/>
        <w:topLinePunct w:val="0"/>
        <w:autoSpaceDE/>
        <w:autoSpaceDN/>
        <w:bidi w:val="0"/>
        <w:adjustRightInd/>
        <w:snapToGrid/>
        <w:ind w:leftChars="0"/>
        <w:textAlignment w:val="auto"/>
        <w:rPr>
          <w:rFonts w:hint="eastAsia"/>
          <w:b/>
          <w:lang w:val="en-US" w:eastAsia="zh-CN"/>
        </w:rPr>
      </w:pPr>
      <w:bookmarkStart w:id="9" w:name="_Toc18440"/>
      <w:r>
        <w:rPr>
          <w:rFonts w:hint="eastAsia"/>
          <w:b/>
          <w:lang w:val="en-US" w:eastAsia="zh-CN"/>
        </w:rPr>
        <w:t>经营状况与可持续发展</w:t>
      </w:r>
      <w:bookmarkEnd w:id="9"/>
    </w:p>
    <w:p w14:paraId="140F4408">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bookmarkStart w:id="10" w:name="_Toc26577"/>
      <w:r>
        <w:rPr>
          <w:rFonts w:hint="eastAsia"/>
          <w:lang w:val="en-US" w:eastAsia="zh-CN"/>
        </w:rPr>
        <w:t>2023年，徐州市永康电子科技有限公司在全球经济环境复杂多变的背景下，坚持稳健经营与可持续发展并重的策略，积极应对市场挑战，持续推进技术创新与质量管理，努力实现经济效益、社会效益与环境效益的协同发展。公司主营业务涵盖家用医疗器械、医用医疗器械和宠物医疗设备三大板块，重点发展慢病管理、智慧病房、疼痛康复及宠物医疗等解决方案。</w:t>
      </w:r>
    </w:p>
    <w:p w14:paraId="7917DD1F">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r>
        <w:rPr>
          <w:rFonts w:hint="eastAsia"/>
          <w:b/>
          <w:lang w:val="en-US" w:eastAsia="zh-CN"/>
        </w:rPr>
        <w:t>3.1 经营业绩概况</w:t>
      </w:r>
      <w:bookmarkEnd w:id="10"/>
    </w:p>
    <w:p w14:paraId="151E81D4">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2023年度，公司实现营业收入 17,484.78 万元，同比增长约5.6%，保持了良好的增长态势。其中，国内收入6,864.88万元，首次超过出口收入7,438.50万元，国内国际双循环相互促进的新发展格局初步形成，有效增强了公司抵御国际市场风险的能力。</w:t>
      </w:r>
    </w:p>
    <w:p w14:paraId="7BF7639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在盈利方面，公司通过精细化成本管控和运营效率提升，在收入增长的同时，营业成本控制在11,814.80万元。最终实现净利润 2,516.17万元，展现出强劲的盈利能力和卓越的管理水平。</w:t>
      </w:r>
    </w:p>
    <w:p w14:paraId="0292DAFE">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公司积极履行纳税义务，2023年度实际缴纳各项税费704.51万元，连续多年获评“A级纳税信用企业”，是徐州经开区乃至徐州市的重点税源企业和模范纳税单位，以实际行动为地方经济发展做出了突出贡献。</w:t>
      </w:r>
    </w:p>
    <w:p w14:paraId="4D06D686">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1" w:name="_Toc18299"/>
      <w:r>
        <w:rPr>
          <w:rFonts w:hint="eastAsia"/>
          <w:b/>
          <w:lang w:val="en-US" w:eastAsia="zh-CN"/>
        </w:rPr>
        <w:t>3.2研发与创新投入</w:t>
      </w:r>
      <w:bookmarkEnd w:id="11"/>
    </w:p>
    <w:p w14:paraId="2633FE5A">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创新是公司发展的核心驱动力。2023年，公司持续加大研发投入，研发费用高达1,183.19万元，较上年大幅增长，占营业收入比重达6.77%，显著高于行业平均水平。</w:t>
      </w:r>
    </w:p>
    <w:p w14:paraId="783DFC54">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2" w:name="_Toc22297"/>
      <w:r>
        <w:rPr>
          <w:rFonts w:hint="eastAsia"/>
          <w:b/>
          <w:lang w:val="en-US" w:eastAsia="zh-CN"/>
        </w:rPr>
        <w:t>3.3 可持续发展战略</w:t>
      </w:r>
      <w:bookmarkEnd w:id="12"/>
    </w:p>
    <w:p w14:paraId="474699F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公司的可持续发展战略深深植根于日常运营，旨在实现经济绩效、环境责任和社会效益的和谐统一。</w:t>
      </w:r>
    </w:p>
    <w:p w14:paraId="36172D00">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经济的可持续性：健康的财务状况是可持续发展的基石。公司资产总额达13,575.76万元，净资产为7,416.15万元，同比增长87.59%，资本实力雄厚。优异的净资产收益率（27.05%） 和主营业务利润率（31.83%） 表明公司不仅规模在扩大，增长质量和资本回报率也非常高，为长期发展提供了内生动力。</w:t>
      </w:r>
    </w:p>
    <w:p w14:paraId="57DB545F">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环境的可持续性：公司将环境管理融入供应链与生产全流程。优先选择环保型原材料与供应商，推行绿色制造工艺，致力于降低单位产值的能耗与排放。2023年，公司获评“国家知识产权优势企业”，通过技术创新推动产品和生产过程的绿色化转型。</w:t>
      </w:r>
    </w:p>
    <w:p w14:paraId="7DD1489B">
      <w:pPr>
        <w:keepNext w:val="0"/>
        <w:keepLines w:val="0"/>
        <w:pageBreakBefore w:val="0"/>
        <w:widowControl w:val="0"/>
        <w:numPr>
          <w:ilvl w:val="0"/>
          <w:numId w:val="0"/>
        </w:numPr>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社会的可持续性：公司视员工为最宝贵的财富。报告期内，支付给职工以及为职工支付的现金达2,087.35万元，足额缴纳“五险一金”，并建立了完善的薪酬福利和职业发展体系。同时，公司积极参与公益事业，通过捐赠支持本地社区发展，践行企业公民责任。</w:t>
      </w:r>
    </w:p>
    <w:p w14:paraId="6FBADE40">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b/>
          <w:lang w:val="en-US" w:eastAsia="zh-CN"/>
        </w:rPr>
      </w:pPr>
      <w:bookmarkStart w:id="13" w:name="_Toc6496"/>
      <w:r>
        <w:rPr>
          <w:rFonts w:hint="eastAsia"/>
          <w:b/>
          <w:lang w:val="en-US" w:eastAsia="zh-CN"/>
        </w:rPr>
        <w:t>四、技术创新与知识产权管理</w:t>
      </w:r>
      <w:bookmarkEnd w:id="13"/>
    </w:p>
    <w:p w14:paraId="46769CC5">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4" w:name="_Toc18521"/>
      <w:r>
        <w:rPr>
          <w:rFonts w:hint="eastAsia"/>
          <w:b/>
          <w:lang w:val="en-US" w:eastAsia="zh-CN"/>
        </w:rPr>
        <w:t>4.1.技术管理</w:t>
      </w:r>
      <w:bookmarkEnd w:id="14"/>
    </w:p>
    <w:p w14:paraId="516B1E7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始终将技术创新作为企业发展的核心驱动力，建立了系统化、规范化的技术管理体系。公司依托省级工程技术研究中心等平台，构建了涵盖市场调研、技术预研、产品开发、测试验证、产业化的全流程研发机制。通过引入PLM（产品生命周期管理）系统，实现了从概念设计到量产的全过程数字化管理，确保技术开发的高效性与可追溯性。</w:t>
      </w:r>
    </w:p>
    <w:p w14:paraId="3D10DAA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公司高度重视技术标准的制定与贯彻，积极参与行业标准、国家标准的起草与修订工作，推动技术成果的标准化与产业化。同时，公司建立了严格的技术保密与信息安全制度，保障核心技术与研发数据的安全。</w:t>
      </w:r>
    </w:p>
    <w:p w14:paraId="47E82696">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5" w:name="_Toc15986"/>
      <w:r>
        <w:rPr>
          <w:rFonts w:hint="eastAsia"/>
          <w:b/>
          <w:lang w:val="en-US" w:eastAsia="zh-CN"/>
        </w:rPr>
        <w:t>4.2研发团队</w:t>
      </w:r>
      <w:bookmarkEnd w:id="15"/>
    </w:p>
    <w:p w14:paraId="6787BDB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公司拥有一支结构合理、专业齐全、经验丰富的研发团队，涵盖电子工程、软件算法、机械设计、临床医学等多学科背景。团队中高级职称及硕士以上学历人员占比超过30%，核心成员具备多年医疗器械研发经验。</w:t>
      </w:r>
    </w:p>
    <w:p w14:paraId="5B3F88B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注重研发人才的培养与激励，通过设立专项研发奖金、技术晋升通道、外部培训与学术交流等多种方式，激发研发人员的创新活力。同时，公司与多所高校及科研机构建立产学研合作机制，共同开展关键技术攻关与人才培养，不断提升团队的整体研发能力。</w:t>
      </w:r>
    </w:p>
    <w:p w14:paraId="1D67D52A">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6" w:name="_Toc26056"/>
      <w:r>
        <w:rPr>
          <w:rFonts w:hint="eastAsia"/>
          <w:b/>
          <w:lang w:val="en-US" w:eastAsia="zh-CN"/>
        </w:rPr>
        <w:t>4.3知识产权</w:t>
      </w:r>
      <w:bookmarkEnd w:id="16"/>
    </w:p>
    <w:p w14:paraId="2AD45FD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始终坚持“技术未动，知识产权先行”的战略理念，构建了完善的知识产权管理体系，涵盖知识产权的创造、运用、保护和管理全流程。公司累计拥有各类知识产权300余项，其中国内授权专利163项（发明专利8件、实用新型50件、外观设计105件），软件著作权20件；国际授权专利16件；授权商标116件。海外专利与商标占总量的13%以上，彰显了公司在全球化布局中的知识产权实力。</w:t>
      </w:r>
    </w:p>
    <w:p w14:paraId="1214BDD4">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eastAsia"/>
          <w:lang w:val="en-US" w:eastAsia="zh-CN"/>
        </w:rPr>
      </w:pPr>
      <w:r>
        <w:rPr>
          <w:rFonts w:hint="eastAsia"/>
          <w:lang w:val="en-US" w:eastAsia="zh-CN"/>
        </w:rPr>
        <w:t>公司高度重视知识产权的质量与布局，围绕核心产品与技术构建了多层次、多地域的专利池与商标网络，有效提升了产品的市场竞争力与品牌影响力。通过定期开展知识产权培训、建立侵权监控与应对机制、推进知识产权贯标等工作，公司于2023年获评“国家知识产权优势企业”，知识产权管理步入规范化、系统化轨道。</w:t>
      </w:r>
      <w:r>
        <w:rPr>
          <w:rFonts w:hint="eastAsia"/>
          <w:lang w:val="en-US" w:eastAsia="zh-CN"/>
        </w:rPr>
        <w:drawing>
          <wp:inline distT="0" distB="0" distL="114300" distR="114300">
            <wp:extent cx="6207125" cy="4358005"/>
            <wp:effectExtent l="0" t="0" r="3175" b="10795"/>
            <wp:docPr id="10" name="图片 10" descr="613c03f6-7cdb-4cf9-8754-8af5bafdf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13c03f6-7cdb-4cf9-8754-8af5bafdf622"/>
                    <pic:cNvPicPr>
                      <a:picLocks noChangeAspect="1"/>
                    </pic:cNvPicPr>
                  </pic:nvPicPr>
                  <pic:blipFill>
                    <a:blip r:embed="rId7"/>
                    <a:stretch>
                      <a:fillRect/>
                    </a:stretch>
                  </pic:blipFill>
                  <pic:spPr>
                    <a:xfrm>
                      <a:off x="0" y="0"/>
                      <a:ext cx="6207125" cy="4358005"/>
                    </a:xfrm>
                    <a:prstGeom prst="rect">
                      <a:avLst/>
                    </a:prstGeom>
                  </pic:spPr>
                </pic:pic>
              </a:graphicData>
            </a:graphic>
          </wp:inline>
        </w:drawing>
      </w:r>
    </w:p>
    <w:p w14:paraId="11E0CC1F">
      <w:pPr>
        <w:pStyle w:val="2"/>
        <w:bidi w:val="0"/>
        <w:rPr>
          <w:rFonts w:hint="eastAsia"/>
          <w:lang w:val="en-US" w:eastAsia="zh-CN"/>
        </w:rPr>
      </w:pPr>
      <w:bookmarkStart w:id="17" w:name="_Toc23251"/>
      <w:r>
        <w:rPr>
          <w:rFonts w:hint="eastAsia"/>
          <w:lang w:val="en-US" w:eastAsia="zh-CN"/>
        </w:rPr>
        <w:t>五、信用建设与供应链管理</w:t>
      </w:r>
      <w:bookmarkEnd w:id="17"/>
    </w:p>
    <w:p w14:paraId="5B904022">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8" w:name="_Toc25278"/>
      <w:r>
        <w:rPr>
          <w:rFonts w:hint="eastAsia"/>
          <w:b/>
          <w:lang w:val="en-US" w:eastAsia="zh-CN"/>
        </w:rPr>
        <w:t>5.1企业信用建设</w:t>
      </w:r>
      <w:bookmarkEnd w:id="18"/>
    </w:p>
    <w:p w14:paraId="2CB1467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徐州永康电子科技有限公司始终将诚信经营作为企业立身之本，建立健全企业信用管理体系，持续提升企业公信力与市场声誉。</w:t>
      </w:r>
    </w:p>
    <w:p w14:paraId="2812370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主要内容可包括：</w:t>
      </w:r>
    </w:p>
    <w:p w14:paraId="0A1C518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信用制度建设：公司制定并实施《诚信经营管理办法》《反商业贿赂政策》等内部制度，明确员工行为规范与合规要求。</w:t>
      </w:r>
    </w:p>
    <w:p w14:paraId="1AAD53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合规经营与依法纳税：202</w:t>
      </w:r>
      <w:r>
        <w:rPr>
          <w:rFonts w:hint="eastAsia"/>
          <w:lang w:val="en-US" w:eastAsia="zh-CN"/>
        </w:rPr>
        <w:t>3</w:t>
      </w:r>
      <w:r>
        <w:rPr>
          <w:rFonts w:hint="default"/>
          <w:lang w:val="en-US" w:eastAsia="zh-CN"/>
        </w:rPr>
        <w:t>年公司实际缴纳税费万元，连续多年被评为“A级纳税信用企业”，严格遵守财务、税务、市场监督等法律法规。</w:t>
      </w:r>
    </w:p>
    <w:p w14:paraId="544CBC0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合同履约与客户信用：全年合同履约率超过9</w:t>
      </w:r>
      <w:r>
        <w:rPr>
          <w:rFonts w:hint="eastAsia"/>
          <w:lang w:val="en-US" w:eastAsia="zh-CN"/>
        </w:rPr>
        <w:t>8</w:t>
      </w:r>
      <w:r>
        <w:rPr>
          <w:rFonts w:hint="default"/>
          <w:lang w:val="en-US" w:eastAsia="zh-CN"/>
        </w:rPr>
        <w:t>%，建立客户信用评级机制，保障合作双方权益。</w:t>
      </w:r>
    </w:p>
    <w:p w14:paraId="455E92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信用文化建设：通过内部培训、宣传栏、企业文化建设活动等方式，强化全员信用意识，营造“重合同、守信用”的企业氛围。</w:t>
      </w:r>
    </w:p>
    <w:p w14:paraId="38E6F589">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19" w:name="_Toc23883"/>
      <w:r>
        <w:rPr>
          <w:rFonts w:hint="eastAsia"/>
          <w:b/>
          <w:lang w:val="en-US" w:eastAsia="zh-CN"/>
        </w:rPr>
        <w:t>5.2 供应商管理与社会责任</w:t>
      </w:r>
      <w:bookmarkEnd w:id="19"/>
    </w:p>
    <w:p w14:paraId="59456ECC">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公司秉承“责任共生、合作共赢”的供应链管理理念，将社会责任延伸至供应链各个环节，推动上下游合作伙伴共同践行可持续发展。</w:t>
      </w:r>
    </w:p>
    <w:p w14:paraId="723140B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主要内容可包括：</w:t>
      </w:r>
    </w:p>
    <w:p w14:paraId="10F3E08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供应商准入与评估机制：</w:t>
      </w:r>
    </w:p>
    <w:p w14:paraId="1767DD8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建立《供应商准入标准》，涵盖质量、环境、劳工权益、商业道德等方面；</w:t>
      </w:r>
    </w:p>
    <w:p w14:paraId="02327D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每年对供应商进行绩效评估，评估结果作为续约与合作升级的依据。</w:t>
      </w:r>
    </w:p>
    <w:p w14:paraId="563F46B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供应商社会责任要求：</w:t>
      </w:r>
    </w:p>
    <w:p w14:paraId="0A43B5D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在与供应商签订的协议中明确社会责任条款，禁止使用童工、强制劳动，要求提供安全的工作环境、公平的薪酬等；</w:t>
      </w:r>
    </w:p>
    <w:p w14:paraId="2F32C26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推动关键供应商通过ISO9001、ISO14001、ISO45001等体系认证。</w:t>
      </w:r>
    </w:p>
    <w:p w14:paraId="22BAA39D">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eastAsia"/>
          <w:b/>
          <w:bCs/>
          <w:lang w:val="en-US" w:eastAsia="zh-CN"/>
        </w:rPr>
      </w:pPr>
      <w:r>
        <w:rPr>
          <w:rFonts w:hint="eastAsia"/>
          <w:b/>
          <w:bCs/>
          <w:lang w:val="en-US" w:eastAsia="zh-CN"/>
        </w:rPr>
        <w:t>供应商培训与支持：</w:t>
      </w:r>
    </w:p>
    <w:p w14:paraId="1EE02EC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定期组织供应商培训，内容涵盖质量管理、环境管理、安全生产、社会责任等；</w:t>
      </w:r>
    </w:p>
    <w:p w14:paraId="0375A8C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对表现优秀的供应商给予订单倾斜、技术支持和长期合作优先权。</w:t>
      </w:r>
    </w:p>
    <w:p w14:paraId="45C181C9">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绿色供应链建设：</w:t>
      </w:r>
    </w:p>
    <w:p w14:paraId="4E074D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优先选择环保型材料与包装，推动供应商减少碳排放与废弃物；</w:t>
      </w:r>
    </w:p>
    <w:p w14:paraId="0A8A341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逐步建立供应链碳足迹追踪机制，助力整体减排目标。</w:t>
      </w:r>
    </w:p>
    <w:p w14:paraId="3C6B2A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风险管控与应急机制：</w:t>
      </w:r>
    </w:p>
    <w:p w14:paraId="0630856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建立供应链风险识别与应急预案，确保供应链的稳定性与韧性；</w:t>
      </w:r>
    </w:p>
    <w:p w14:paraId="67A0FC2D">
      <w:pPr>
        <w:rPr>
          <w:rFonts w:hint="eastAsia"/>
          <w:lang w:val="en-US" w:eastAsia="zh-CN"/>
        </w:rPr>
      </w:pPr>
      <w:r>
        <w:rPr>
          <w:rFonts w:hint="eastAsia"/>
          <w:lang w:val="en-US" w:eastAsia="zh-CN"/>
        </w:rPr>
        <w:t>对高风险地区或行业供应商开展专项审核与现场稽查。</w:t>
      </w:r>
    </w:p>
    <w:p w14:paraId="1CF771D3">
      <w:pPr>
        <w:pStyle w:val="2"/>
        <w:numPr>
          <w:ilvl w:val="0"/>
          <w:numId w:val="2"/>
        </w:numPr>
        <w:bidi w:val="0"/>
        <w:rPr>
          <w:rFonts w:hint="eastAsia"/>
          <w:lang w:val="en-US" w:eastAsia="zh-CN"/>
        </w:rPr>
      </w:pPr>
      <w:bookmarkStart w:id="20" w:name="_Toc8295"/>
      <w:r>
        <w:rPr>
          <w:rFonts w:hint="eastAsia"/>
          <w:lang w:val="en-US" w:eastAsia="zh-CN"/>
        </w:rPr>
        <w:t>环境管理与资源节约</w:t>
      </w:r>
      <w:bookmarkEnd w:id="20"/>
    </w:p>
    <w:p w14:paraId="1F1A0CF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深刻认识到环境保护是企业应尽的社会责任，也是实现可持续发展的基石。我们致力于将环境管理融入企业运营的各个环节，遵循“遵守法规、预防污染、节能降耗、持续改进”的环境方针，追求经济效益与环境效益的和谐统一。</w:t>
      </w:r>
    </w:p>
    <w:p w14:paraId="1A8B40B4">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1" w:name="_Toc16825"/>
      <w:r>
        <w:rPr>
          <w:rFonts w:hint="eastAsia"/>
          <w:b/>
          <w:lang w:val="en-US" w:eastAsia="zh-CN"/>
        </w:rPr>
        <w:t>6</w:t>
      </w:r>
      <w:r>
        <w:rPr>
          <w:rFonts w:hint="default"/>
          <w:b/>
          <w:lang w:val="en-US" w:eastAsia="zh-CN"/>
        </w:rPr>
        <w:t>.</w:t>
      </w:r>
      <w:r>
        <w:rPr>
          <w:rFonts w:hint="eastAsia"/>
          <w:b/>
          <w:lang w:val="en-US" w:eastAsia="zh-CN"/>
        </w:rPr>
        <w:t>1</w:t>
      </w:r>
      <w:r>
        <w:rPr>
          <w:rFonts w:hint="default"/>
          <w:b/>
          <w:lang w:val="en-US" w:eastAsia="zh-CN"/>
        </w:rPr>
        <w:t>环境管理体系</w:t>
      </w:r>
      <w:bookmarkEnd w:id="21"/>
    </w:p>
    <w:p w14:paraId="2AA7879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公司已建立并持续维护符合 GB/T24001-2016 / ISO14001:2015 标准的环境管理体系（EMS），体系运行有效，证书持续有效。</w:t>
      </w:r>
    </w:p>
    <w:p w14:paraId="494B5717">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drawing>
          <wp:anchor distT="0" distB="0" distL="114300" distR="114300" simplePos="0" relativeHeight="251661312" behindDoc="0" locked="0" layoutInCell="1" allowOverlap="1">
            <wp:simplePos x="0" y="0"/>
            <wp:positionH relativeFrom="column">
              <wp:posOffset>367030</wp:posOffset>
            </wp:positionH>
            <wp:positionV relativeFrom="paragraph">
              <wp:posOffset>413385</wp:posOffset>
            </wp:positionV>
            <wp:extent cx="4803140" cy="6786245"/>
            <wp:effectExtent l="0" t="0" r="10160" b="8255"/>
            <wp:wrapTopAndBottom/>
            <wp:docPr id="4" name="图片 4" descr="14001中文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4001中文_01"/>
                    <pic:cNvPicPr>
                      <a:picLocks noChangeAspect="1"/>
                    </pic:cNvPicPr>
                  </pic:nvPicPr>
                  <pic:blipFill>
                    <a:blip r:embed="rId8"/>
                    <a:stretch>
                      <a:fillRect/>
                    </a:stretch>
                  </pic:blipFill>
                  <pic:spPr>
                    <a:xfrm>
                      <a:off x="0" y="0"/>
                      <a:ext cx="4803140" cy="6786245"/>
                    </a:xfrm>
                    <a:prstGeom prst="rect">
                      <a:avLst/>
                    </a:prstGeom>
                  </pic:spPr>
                </pic:pic>
              </a:graphicData>
            </a:graphic>
          </wp:anchor>
        </w:drawing>
      </w:r>
    </w:p>
    <w:p w14:paraId="3AA04767">
      <w:pPr>
        <w:pStyle w:val="3"/>
        <w:keepNext w:val="0"/>
        <w:keepLines w:val="0"/>
        <w:pageBreakBefore w:val="0"/>
        <w:widowControl w:val="0"/>
        <w:numPr>
          <w:ilvl w:val="0"/>
          <w:numId w:val="0"/>
        </w:numPr>
        <w:kinsoku/>
        <w:wordWrap/>
        <w:overflowPunct/>
        <w:topLinePunct w:val="0"/>
        <w:autoSpaceDE/>
        <w:autoSpaceDN/>
        <w:bidi w:val="0"/>
        <w:adjustRightInd/>
        <w:snapToGrid/>
        <w:textAlignment w:val="auto"/>
        <w:rPr>
          <w:rFonts w:hint="default"/>
          <w:b/>
          <w:lang w:val="en-US" w:eastAsia="zh-CN"/>
        </w:rPr>
      </w:pPr>
      <w:bookmarkStart w:id="22" w:name="_Toc21767"/>
      <w:r>
        <w:rPr>
          <w:rFonts w:hint="eastAsia"/>
          <w:b/>
          <w:lang w:val="en-US" w:eastAsia="zh-CN"/>
        </w:rPr>
        <w:t>6.2</w:t>
      </w:r>
      <w:r>
        <w:rPr>
          <w:rFonts w:hint="default"/>
          <w:b/>
          <w:lang w:val="en-US" w:eastAsia="zh-CN"/>
        </w:rPr>
        <w:t>资源综合利用</w:t>
      </w:r>
      <w:bookmarkEnd w:id="22"/>
    </w:p>
    <w:p w14:paraId="175F076F">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积极响应国家绿色制造和循环经济发展的号召，将资源综合利用作为环境管理的重要组成部分，系统推进节能、节水、节材及废弃物资源化工作，致力于实现资源消耗减量化、生产过程清洁化和资源利用高效化。</w:t>
      </w:r>
    </w:p>
    <w:p w14:paraId="6193D61B">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lang w:val="en-US" w:eastAsia="zh-CN"/>
        </w:rPr>
      </w:pPr>
      <w:r>
        <w:rPr>
          <w:rFonts w:hint="default"/>
          <w:b/>
          <w:bCs/>
          <w:lang w:val="en-US" w:eastAsia="zh-CN"/>
        </w:rPr>
        <w:t>能源节约与绿色用能：</w:t>
      </w:r>
      <w:r>
        <w:rPr>
          <w:rFonts w:hint="default"/>
          <w:lang w:val="en-US" w:eastAsia="zh-CN"/>
        </w:rPr>
        <w:br w:type="textWrapping"/>
      </w:r>
      <w:r>
        <w:rPr>
          <w:rFonts w:hint="default"/>
          <w:lang w:val="en-US" w:eastAsia="zh-CN"/>
        </w:rPr>
        <w:t>公司通过技术和管理双轮驱动，持续降低单位产值能耗。2023年，公司对智能制造基地的照明系统进行全面LED节能改造，年节电率达20%以上；对空压机、空调等高能耗设备实施变频控制和智能调度，有效提升能源使用效率。同时，公司积极探索绿色能源应用，厂房屋顶光伏发电项目已完成可行性研究，预计未来可部分替代传统电能。</w:t>
      </w:r>
    </w:p>
    <w:p w14:paraId="2A4F0268">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lang w:val="en-US" w:eastAsia="zh-CN"/>
        </w:rPr>
      </w:pPr>
      <w:r>
        <w:rPr>
          <w:rFonts w:hint="default"/>
          <w:b/>
          <w:bCs/>
          <w:lang w:val="en-US" w:eastAsia="zh-CN"/>
        </w:rPr>
        <w:t>水资源循环与节约：</w:t>
      </w:r>
      <w:r>
        <w:rPr>
          <w:rFonts w:hint="default"/>
          <w:lang w:val="en-US" w:eastAsia="zh-CN"/>
        </w:rPr>
        <w:br w:type="textWrapping"/>
      </w:r>
      <w:r>
        <w:rPr>
          <w:rFonts w:hint="default"/>
          <w:lang w:val="en-US" w:eastAsia="zh-CN"/>
        </w:rPr>
        <w:t>公司在生产过程中注重水资源的循环利用，通过改进清洗工艺、安装节水型器具等措施，有效降低新鲜水消耗。冷却水循环系统利用率持续保持在95%以上，显著减少了水资源浪费。</w:t>
      </w:r>
    </w:p>
    <w:p w14:paraId="26B1F3DC">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lang w:val="en-US" w:eastAsia="zh-CN"/>
        </w:rPr>
      </w:pPr>
      <w:r>
        <w:rPr>
          <w:rFonts w:hint="default"/>
          <w:b/>
          <w:bCs/>
          <w:lang w:val="en-US" w:eastAsia="zh-CN"/>
        </w:rPr>
        <w:t>材料节约与绿色采购：</w:t>
      </w:r>
      <w:r>
        <w:rPr>
          <w:rFonts w:hint="default"/>
          <w:lang w:val="en-US" w:eastAsia="zh-CN"/>
        </w:rPr>
        <w:br w:type="textWrapping"/>
      </w:r>
      <w:r>
        <w:rPr>
          <w:rFonts w:hint="default"/>
          <w:lang w:val="en-US" w:eastAsia="zh-CN"/>
        </w:rPr>
        <w:t>在产品设计和生产环节，公司推行生态设计理念，优化产品结构，减少原材料使用；优先选用可回收、可降解的环保包装材料，并与供应商协同推进包装物的循环利用。2023年，通过工艺优化和材料替代，主要产品单台材料成本同比下降约3%。</w:t>
      </w:r>
    </w:p>
    <w:p w14:paraId="5E9699C5">
      <w:pPr>
        <w:keepNext w:val="0"/>
        <w:keepLines w:val="0"/>
        <w:pageBreakBefore w:val="0"/>
        <w:widowControl w:val="0"/>
        <w:kinsoku/>
        <w:wordWrap/>
        <w:overflowPunct/>
        <w:topLinePunct w:val="0"/>
        <w:autoSpaceDE/>
        <w:autoSpaceDN/>
        <w:bidi w:val="0"/>
        <w:adjustRightInd/>
        <w:snapToGrid/>
        <w:ind w:firstLine="562" w:firstLineChars="200"/>
        <w:textAlignment w:val="auto"/>
        <w:rPr>
          <w:rFonts w:hint="default"/>
          <w:lang w:val="en-US" w:eastAsia="zh-CN"/>
        </w:rPr>
      </w:pPr>
      <w:r>
        <w:rPr>
          <w:rFonts w:hint="default"/>
          <w:b/>
          <w:bCs/>
          <w:lang w:val="en-US" w:eastAsia="zh-CN"/>
        </w:rPr>
        <w:t>废弃物管理与资源化：</w:t>
      </w:r>
      <w:r>
        <w:rPr>
          <w:rFonts w:hint="default"/>
          <w:lang w:val="en-US" w:eastAsia="zh-CN"/>
        </w:rPr>
        <w:br w:type="textWrapping"/>
      </w:r>
      <w:r>
        <w:rPr>
          <w:rFonts w:hint="default"/>
          <w:lang w:val="en-US" w:eastAsia="zh-CN"/>
        </w:rPr>
        <w:t>公司严格执行废弃物分类管理制度，设立分类收集设施，对一般废弃物、危险废弃物实施分区、分级管理。通过与具备资质的处理单位合作，确保废弃物依法合规处置，并积极推进废弃物资源化。2023年，生产过程中产生的金属边角料、塑料废料等可回收废弃物综合回收利用率达到90%以上；对废溶剂、废电子元件等危险废弃物，全部实现合规转移与无害化处理。</w:t>
      </w:r>
    </w:p>
    <w:p w14:paraId="3D96D561">
      <w:pPr>
        <w:pStyle w:val="2"/>
        <w:numPr>
          <w:ilvl w:val="0"/>
          <w:numId w:val="2"/>
        </w:numPr>
        <w:bidi w:val="0"/>
        <w:ind w:left="0" w:leftChars="0" w:firstLine="0" w:firstLineChars="0"/>
        <w:rPr>
          <w:rFonts w:hint="eastAsia"/>
          <w:lang w:val="en-US" w:eastAsia="zh-CN"/>
        </w:rPr>
      </w:pPr>
      <w:bookmarkStart w:id="23" w:name="_Toc20417"/>
      <w:r>
        <w:rPr>
          <w:rFonts w:hint="eastAsia"/>
          <w:lang w:val="en-US" w:eastAsia="zh-CN"/>
        </w:rPr>
        <w:t>安全生产</w:t>
      </w:r>
      <w:bookmarkEnd w:id="23"/>
    </w:p>
    <w:p w14:paraId="5660435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徐州市永康电子科技有限公司始终将安全生产视为企业生存发展的生命线，特别是作为医疗器械生产企业，产品的安全性与生产过程的可靠性直接关系到患者的生命健康。我们坚持“安全第一、预防为主、综合治理”的方针，致力于构建科学、规范、高效的安全生产管理体系，为员工创造安全的工作环境，为产品质量提供坚实保障。</w:t>
      </w:r>
    </w:p>
    <w:p w14:paraId="2DA574FD">
      <w:pPr>
        <w:pStyle w:val="2"/>
        <w:keepNext w:val="0"/>
        <w:keepLines w:val="0"/>
        <w:pageBreakBefore w:val="0"/>
        <w:widowControl w:val="0"/>
        <w:numPr>
          <w:ilvl w:val="0"/>
          <w:numId w:val="2"/>
        </w:numPr>
        <w:kinsoku/>
        <w:wordWrap/>
        <w:overflowPunct/>
        <w:topLinePunct w:val="0"/>
        <w:autoSpaceDE/>
        <w:autoSpaceDN/>
        <w:bidi w:val="0"/>
        <w:adjustRightInd/>
        <w:snapToGrid/>
        <w:ind w:left="0" w:leftChars="0" w:firstLine="0" w:firstLineChars="0"/>
        <w:textAlignment w:val="auto"/>
        <w:rPr>
          <w:rFonts w:hint="eastAsia"/>
          <w:b/>
          <w:lang w:val="en-US" w:eastAsia="zh-CN"/>
        </w:rPr>
      </w:pPr>
      <w:bookmarkStart w:id="24" w:name="_Toc12886"/>
      <w:r>
        <w:rPr>
          <w:rFonts w:hint="eastAsia"/>
          <w:b/>
          <w:lang w:val="en-US" w:eastAsia="zh-CN"/>
        </w:rPr>
        <w:t>员工权益与发展</w:t>
      </w:r>
      <w:bookmarkEnd w:id="24"/>
    </w:p>
    <w:p w14:paraId="11450B18">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员工是徐州市永康电子科技有限公司最宝贵的财富和持续发展的核心动力。我们始终秉持“以人为本、共同成长”的人才理念，严格遵守《劳动法》、《劳动合同法》等国家法律法规，致力于保障员工的合法权益，构建和谐稳定的劳动关系，并通过完善的培训与发展体系，助力员工实现个人价值，与公司共创未来。</w:t>
      </w:r>
    </w:p>
    <w:p w14:paraId="113DE565">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8.1</w:t>
      </w:r>
      <w:r>
        <w:rPr>
          <w:rFonts w:hint="default"/>
          <w:b/>
          <w:lang w:val="en-US" w:eastAsia="zh-CN"/>
        </w:rPr>
        <w:t>有竞争力的薪酬政策</w:t>
      </w:r>
    </w:p>
    <w:p w14:paraId="5FAFC72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在遵守国家相关法律法规的基础上，根据市场化原则，建立具备市场竞争力的薪酬管理体系，公司逐步建立健全相应的薪酬待遇体系，以激励和留住优秀员工。报告期内实施业务部门以业绩考核为主体，辅以综合考评。支持部门以定量目标考核为主体，辅以动态因素调整。同时，公司还建立了全面的福利保障体系，包括社会保险、住房公积金、公司福利、工会福利及女职工福利等，充分体现了公司价值观和企业文化。</w:t>
      </w:r>
    </w:p>
    <w:p w14:paraId="0E8EFEFA">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1）绩效工资：公司为员工提供具有市场竞争力的岗位薪酬，并根据公司的业绩、市场薪酬水平和个人业绩表现对员工的薪酬水平进行年度调整。绩效奖金直接体现员工绩效和贡献，根据员工绩效考核结果按岗位所属系列实施月度或年终结算。年度结束后，根据员工绩效表现与公司业绩，为员工提供年度绩效奖金。</w:t>
      </w:r>
    </w:p>
    <w:p w14:paraId="2047B9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（2）研发激励：鼓励研发专业技术人员不断学习和持续创新，强化以市场和业绩为导向的竞争性报酬体系激励研发人员。</w:t>
      </w:r>
    </w:p>
    <w:p w14:paraId="668BCA53">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（3）专项激励：对在年度内表现优秀的员工和工作团队，公司还提供各项专项奖励，如优秀员工、先进集体、优秀管理奖、持续改进奖等，以体现对优秀员工、工作团队的即时认可和奖励。</w:t>
      </w:r>
    </w:p>
    <w:p w14:paraId="7B008EF6">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8.2</w:t>
      </w:r>
      <w:r>
        <w:rPr>
          <w:rFonts w:hint="default"/>
          <w:b/>
          <w:lang w:val="en-US" w:eastAsia="zh-CN"/>
        </w:rPr>
        <w:t>为员工提供充分的社会保障</w:t>
      </w:r>
    </w:p>
    <w:p w14:paraId="78C01DF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建立并认真执行员工带薪年休假制度，根据国家规定充分保障女性员工在怀孕、生产、哺乳期间所享有的待遇。公司为吸引和留住人才，改善宿舍楼住宿环境，不定期地组织活动丰富业余生活，使员工尽快融入公司大家庭。每年评选优秀员工、优秀班组等奖项，并给予表彰及奖品；每年组织员工进行体检，以确保员工的身心健康。</w:t>
      </w:r>
    </w:p>
    <w:p w14:paraId="2CCEAC69">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r>
        <w:rPr>
          <w:rFonts w:hint="eastAsia"/>
          <w:b/>
          <w:lang w:val="en-US" w:eastAsia="zh-CN"/>
        </w:rPr>
        <w:t>8.3</w:t>
      </w:r>
      <w:r>
        <w:rPr>
          <w:rFonts w:hint="default"/>
          <w:b/>
          <w:lang w:val="en-US" w:eastAsia="zh-CN"/>
        </w:rPr>
        <w:t>为员工职业发展提供广阔空间</w:t>
      </w:r>
    </w:p>
    <w:p w14:paraId="6CE3492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始终注重员工培训及职业发展，通过规划一系列员工培训计划及后备人才储备体系，不断扩充、强化公司人才队伍建设，提升公司发展活力。公司通过聘请专业团队、委外培训、参与协会培训等多种形式展开培训，提高员工的工作技能和综合素质。主要培训内容如下：</w:t>
      </w:r>
    </w:p>
    <w:p w14:paraId="493CB5A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（1）新员工入职培训：引导新员工熟悉和了解工作职责、工作环境和工作条件、企业文化等；扩展员工的知识和技能，提高适应性，为快速融入企业创造条件；</w:t>
      </w:r>
    </w:p>
    <w:p w14:paraId="4A18F26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（2）营销人员业务培训：通过培训了解产品、设计理念，使营销人员了解市场、熟悉市场，并成为研发创新的实践者，提高工作积极性；</w:t>
      </w:r>
    </w:p>
    <w:p w14:paraId="5BDD15E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（3）管理者、研发人员培训：通过培训提高各层次管理人员的思想素质和管理水平，使之更新观念，改善知识结构，适应公司新的管理模式。</w:t>
      </w:r>
    </w:p>
    <w:p w14:paraId="24CF773B">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（4）董监高培训：进一步切实提高董监高履职能力，通过相关案例向董监高传达政策导向，避免董监高在下一步工作中触碰监管红线。</w:t>
      </w:r>
    </w:p>
    <w:p w14:paraId="79102F8B">
      <w:pPr>
        <w:pStyle w:val="2"/>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5" w:name="_Toc17272"/>
      <w:r>
        <w:rPr>
          <w:rFonts w:hint="default"/>
          <w:b/>
          <w:lang w:val="en-US" w:eastAsia="zh-CN"/>
        </w:rPr>
        <w:t>九、社会责任实践与公益支持</w:t>
      </w:r>
      <w:bookmarkEnd w:id="25"/>
    </w:p>
    <w:p w14:paraId="46330497">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6" w:name="_Toc11276"/>
      <w:r>
        <w:rPr>
          <w:rFonts w:hint="default"/>
          <w:b/>
          <w:lang w:val="en-US" w:eastAsia="zh-CN"/>
        </w:rPr>
        <w:t>9.1 安全责任践行</w:t>
      </w:r>
      <w:bookmarkEnd w:id="26"/>
    </w:p>
    <w:p w14:paraId="517EA7C6">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公司将产品安全视为对消费者和社会最核心的承诺，并通过全方位举措予以落实：</w:t>
      </w:r>
    </w:p>
    <w:p w14:paraId="11748E8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质量安全红线：严格执行《医疗器械监督管理条例》等法规，依托ISO13485和ISO9001质量管理体系，对产品实现全生命周期风险管理，确保出厂产品100%符合安全标准，保障患者用械安全。202</w:t>
      </w:r>
      <w:r>
        <w:rPr>
          <w:rFonts w:hint="eastAsia"/>
          <w:lang w:val="en-US" w:eastAsia="zh-CN"/>
        </w:rPr>
        <w:t>3</w:t>
      </w:r>
      <w:r>
        <w:rPr>
          <w:rFonts w:hint="default"/>
          <w:lang w:val="en-US" w:eastAsia="zh-CN"/>
        </w:rPr>
        <w:t>年，公司主导/参与产品安全性培训XX场。</w:t>
      </w:r>
    </w:p>
    <w:p w14:paraId="0CEE16F5">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科普教育与公众知情：通过官方网站、微信公众号、产品说明书等渠道，积极向公众科普医疗器械正确使用、日常健康管理等相关知识，提升用户安全意识和健康素养。</w:t>
      </w:r>
    </w:p>
    <w:p w14:paraId="03FAFB3D">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应急保障与支持：在公共健康事件或突发事件中，积极响应政府号召，保障相关医疗设备的稳定生产和供应，为公共卫生安全贡献力量。</w:t>
      </w:r>
    </w:p>
    <w:p w14:paraId="53B17067">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7" w:name="_Toc15864"/>
      <w:r>
        <w:rPr>
          <w:rFonts w:hint="default"/>
          <w:b/>
          <w:lang w:val="en-US" w:eastAsia="zh-CN"/>
        </w:rPr>
        <w:t>9.2 员工责任落实</w:t>
      </w:r>
      <w:bookmarkEnd w:id="27"/>
    </w:p>
    <w:p w14:paraId="565B8E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公司视员工为家人，超越法律义务，全面落实对员工的责任，构建和谐劳动关系：</w:t>
      </w:r>
    </w:p>
    <w:p w14:paraId="7BB61872">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权益保障：100%签订劳动合同、足额缴纳“五险一金”、建立公正的薪酬福利体系，保障员工基本权益。</w:t>
      </w:r>
    </w:p>
    <w:p w14:paraId="5B00BB8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default"/>
          <w:lang w:val="en-US" w:eastAsia="zh-CN"/>
        </w:rPr>
        <w:t>健康成长：提供年度体检、心理健康关怀、丰富多彩的文体活动，关注员工身心健康与工作生活平衡。</w:t>
      </w:r>
    </w:p>
    <w:p w14:paraId="1CD9E71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default"/>
          <w:lang w:val="en-US" w:eastAsia="zh-CN"/>
        </w:rPr>
      </w:pPr>
      <w:r>
        <w:rPr>
          <w:rFonts w:hint="default"/>
          <w:lang w:val="en-US" w:eastAsia="zh-CN"/>
        </w:rPr>
        <w:t>发展赋能：建立完善的培训与双通道发展体系，投资于员工的未来，助力员工实现个人价值与企业共同成长。</w:t>
      </w:r>
    </w:p>
    <w:p w14:paraId="47575E05">
      <w:pPr>
        <w:pStyle w:val="3"/>
        <w:keepNext w:val="0"/>
        <w:keepLines w:val="0"/>
        <w:pageBreakBefore w:val="0"/>
        <w:widowControl w:val="0"/>
        <w:kinsoku/>
        <w:wordWrap/>
        <w:overflowPunct/>
        <w:topLinePunct w:val="0"/>
        <w:autoSpaceDE/>
        <w:autoSpaceDN/>
        <w:bidi w:val="0"/>
        <w:adjustRightInd/>
        <w:snapToGrid/>
        <w:textAlignment w:val="auto"/>
        <w:rPr>
          <w:rFonts w:hint="default"/>
          <w:b/>
          <w:lang w:val="en-US" w:eastAsia="zh-CN"/>
        </w:rPr>
      </w:pPr>
      <w:bookmarkStart w:id="28" w:name="_Toc13738"/>
      <w:r>
        <w:rPr>
          <w:rFonts w:hint="default"/>
          <w:b/>
          <w:lang w:val="en-US" w:eastAsia="zh-CN"/>
        </w:rPr>
        <w:t>9.3 公益责任履行</w:t>
      </w:r>
      <w:bookmarkEnd w:id="28"/>
    </w:p>
    <w:p w14:paraId="600910E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始终将公益慈善事业视为企业回馈社会、践行核心价值观的重要途径。2023年度，我们聚焦“健康守护”与“人才培育”两大核心领域，结合自身产业优势，系统性地开展了一系列公益实践，以实际行动诠释企业的社会担当。</w:t>
      </w:r>
    </w:p>
    <w:p w14:paraId="1C81F6E8">
      <w:pPr>
        <w:keepNext w:val="0"/>
        <w:keepLines w:val="0"/>
        <w:pageBreakBefore w:val="0"/>
        <w:widowControl w:val="0"/>
        <w:kinsoku/>
        <w:wordWrap/>
        <w:overflowPunct/>
        <w:topLinePunct w:val="0"/>
        <w:autoSpaceDE/>
        <w:autoSpaceDN/>
        <w:bidi w:val="0"/>
        <w:adjustRightInd/>
        <w:snapToGrid/>
        <w:ind w:firstLine="560" w:firstLineChars="200"/>
        <w:jc w:val="left"/>
        <w:textAlignment w:val="auto"/>
        <w:rPr>
          <w:rFonts w:hint="default"/>
          <w:lang w:val="en-US" w:eastAsia="zh-CN"/>
        </w:rPr>
      </w:pPr>
      <w:r>
        <w:rPr>
          <w:rFonts w:hint="default"/>
          <w:lang w:val="en-US" w:eastAsia="zh-CN"/>
        </w:rPr>
        <w:t>秉承“扎根徐州，回馈社会”的理念，公司积极参与本地慈善事业。2023年8月，公司通过徐州市慈善总会捐赠人民币10,000元，用于支持“慈善护航爱满经开”公益项目。该项目旨在为徐州经济开发区的困难群体提供精准帮扶，涵盖助老、助医、助学等多个方面。</w:t>
      </w:r>
    </w:p>
    <w:p w14:paraId="1EF1358B">
      <w:pPr>
        <w:keepNext w:val="0"/>
        <w:keepLines w:val="0"/>
        <w:pageBreakBefore w:val="0"/>
        <w:widowControl w:val="0"/>
        <w:kinsoku/>
        <w:wordWrap/>
        <w:overflowPunct/>
        <w:topLinePunct w:val="0"/>
        <w:autoSpaceDE/>
        <w:autoSpaceDN/>
        <w:bidi w:val="0"/>
        <w:adjustRightInd/>
        <w:snapToGrid/>
        <w:ind w:firstLine="560" w:firstLineChars="200"/>
        <w:jc w:val="center"/>
        <w:textAlignment w:val="auto"/>
        <w:rPr>
          <w:rFonts w:hint="default"/>
          <w:lang w:val="en-US" w:eastAsia="zh-CN"/>
        </w:rPr>
      </w:pPr>
      <w:r>
        <w:rPr>
          <w:rFonts w:hint="default"/>
          <w:lang w:val="en-US" w:eastAsia="zh-CN"/>
        </w:rPr>
        <w:drawing>
          <wp:inline distT="0" distB="0" distL="114300" distR="114300">
            <wp:extent cx="3244215" cy="4655185"/>
            <wp:effectExtent l="0" t="0" r="6985" b="5715"/>
            <wp:docPr id="5" name="图片 5" descr="ce36df29-8e4d-43a0-bdf8-089b6df0e60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e36df29-8e4d-43a0-bdf8-089b6df0e60b"/>
                    <pic:cNvPicPr>
                      <a:picLocks noChangeAspect="1"/>
                    </pic:cNvPicPr>
                  </pic:nvPicPr>
                  <pic:blipFill>
                    <a:blip r:embed="rId9"/>
                    <a:stretch>
                      <a:fillRect/>
                    </a:stretch>
                  </pic:blipFill>
                  <pic:spPr>
                    <a:xfrm>
                      <a:off x="0" y="0"/>
                      <a:ext cx="3244215" cy="4655185"/>
                    </a:xfrm>
                    <a:prstGeom prst="rect">
                      <a:avLst/>
                    </a:prstGeom>
                  </pic:spPr>
                </pic:pic>
              </a:graphicData>
            </a:graphic>
          </wp:inline>
        </w:drawing>
      </w:r>
    </w:p>
    <w:p w14:paraId="3556FABD">
      <w:pPr>
        <w:pStyle w:val="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lang w:val="en-US" w:eastAsia="zh-CN"/>
        </w:rPr>
      </w:pPr>
      <w:bookmarkStart w:id="29" w:name="_Toc21734"/>
      <w:r>
        <w:rPr>
          <w:rFonts w:hint="eastAsia"/>
          <w:b/>
          <w:lang w:val="en-US" w:eastAsia="zh-CN"/>
        </w:rPr>
        <w:t>十、绩效评价与持续改进</w:t>
      </w:r>
      <w:bookmarkEnd w:id="29"/>
    </w:p>
    <w:p w14:paraId="22AF5628">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0" w:name="_Toc30757"/>
      <w:r>
        <w:rPr>
          <w:rFonts w:hint="eastAsia"/>
          <w:b/>
          <w:lang w:val="en-US" w:eastAsia="zh-CN"/>
        </w:rPr>
        <w:t>10.1 监视、测量与评价</w:t>
      </w:r>
      <w:bookmarkEnd w:id="30"/>
    </w:p>
    <w:p w14:paraId="4089B3F1">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建立了系统的社会责任绩效监视与测量机制，定期对各项社会责任目标的达成情况进行跟踪与评估。通过设定关键绩效指标（KPI），包括但不限于产品质量合格率、安全生产事故率、员工满意度、供应商合规率、单位产值能耗等，确保社会责任管理体系运行的有效性。2023年，公司通过内部数据收集、第三方审计、利益相关方反馈等多渠道获取绩效数据，并进行分析评价，为管理决策提供依据。</w:t>
      </w:r>
    </w:p>
    <w:p w14:paraId="41518015">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1" w:name="_Toc4031"/>
      <w:r>
        <w:rPr>
          <w:rFonts w:hint="eastAsia"/>
          <w:b/>
          <w:lang w:val="en-US" w:eastAsia="zh-CN"/>
        </w:rPr>
        <w:t>10.2 内部审核与管理评审</w:t>
      </w:r>
      <w:bookmarkEnd w:id="31"/>
    </w:p>
    <w:p w14:paraId="25C6E4B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公司每年至少开展一次内部审核，覆盖社会责任管理体系的全部要素和所有部门，确保体系符合GB/T 39604-2020、ISO 14001、ISO 45001等标准要求。审核结果形成报告，报送最高管理者，并作为管理评审的重要输入。管理评审由公司高层领导主持，全面评估社会责任方针、目标、绩效及体系适宜性、充分性和有效性，并确定改进方向和资源需求。</w:t>
      </w:r>
    </w:p>
    <w:p w14:paraId="057F9BF2">
      <w:pPr>
        <w:pStyle w:val="3"/>
        <w:keepNext w:val="0"/>
        <w:keepLines w:val="0"/>
        <w:pageBreakBefore w:val="0"/>
        <w:widowControl w:val="0"/>
        <w:kinsoku/>
        <w:wordWrap/>
        <w:overflowPunct/>
        <w:topLinePunct w:val="0"/>
        <w:autoSpaceDE/>
        <w:autoSpaceDN/>
        <w:bidi w:val="0"/>
        <w:adjustRightInd/>
        <w:snapToGrid/>
        <w:textAlignment w:val="auto"/>
        <w:rPr>
          <w:rFonts w:hint="eastAsia"/>
          <w:b/>
          <w:lang w:val="en-US" w:eastAsia="zh-CN"/>
        </w:rPr>
      </w:pPr>
      <w:bookmarkStart w:id="32" w:name="_Toc30815"/>
      <w:r>
        <w:rPr>
          <w:rFonts w:hint="eastAsia"/>
          <w:b/>
          <w:lang w:val="en-US" w:eastAsia="zh-CN"/>
        </w:rPr>
        <w:t>10.3 持续改进措施</w:t>
      </w:r>
      <w:bookmarkEnd w:id="32"/>
    </w:p>
    <w:p w14:paraId="5D0B5B54">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基于监视、测量、审核和管理评审的结果，公司制定并实施持续改进计划。2023年，主要改进措施包括：优化环境目标管理流程，提升废弃物分类与回收效率；加强供应链社会责任审核频次与深度；推进数字化管理系统在安全与环保领域的应用；开展员工社会责任意识专项培训。公司通过设立改进项目、明确责任部门与完成时限，并跟踪验证实施效果，确保社会责任绩效不断提升。</w:t>
      </w:r>
    </w:p>
    <w:p w14:paraId="34231F4B">
      <w:pPr>
        <w:pStyle w:val="3"/>
        <w:keepNext w:val="0"/>
        <w:keepLines w:val="0"/>
        <w:pageBreakBefore w:val="0"/>
        <w:widowControl w:val="0"/>
        <w:numPr>
          <w:ilvl w:val="0"/>
          <w:numId w:val="3"/>
        </w:numPr>
        <w:kinsoku/>
        <w:wordWrap/>
        <w:overflowPunct/>
        <w:topLinePunct w:val="0"/>
        <w:autoSpaceDE/>
        <w:autoSpaceDN/>
        <w:bidi w:val="0"/>
        <w:adjustRightInd/>
        <w:snapToGrid/>
        <w:textAlignment w:val="auto"/>
        <w:rPr>
          <w:rFonts w:hint="eastAsia"/>
          <w:lang w:val="en-US" w:eastAsia="zh-CN"/>
        </w:rPr>
      </w:pPr>
      <w:bookmarkStart w:id="33" w:name="_Toc21989"/>
      <w:r>
        <w:rPr>
          <w:rFonts w:hint="eastAsia"/>
          <w:b/>
          <w:lang w:val="en-US" w:eastAsia="zh-CN"/>
        </w:rPr>
        <w:t>结语</w:t>
      </w:r>
      <w:bookmarkEnd w:id="33"/>
    </w:p>
    <w:p w14:paraId="465C2860">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2023年，徐州市永康电子科技有限公司在追求经济效益的同时，始终将社会责任深植于企业战略与日常运营之中。我们以实际行动践行对员工、客户、环境与社会的承诺，并通过系统化的绩效管理与持续改进机制，不断提升履责能力。</w:t>
      </w:r>
    </w:p>
    <w:p w14:paraId="0AA065BE">
      <w:pPr>
        <w:keepNext w:val="0"/>
        <w:keepLines w:val="0"/>
        <w:pageBreakBefore w:val="0"/>
        <w:widowControl w:val="0"/>
        <w:kinsoku/>
        <w:wordWrap/>
        <w:overflowPunct/>
        <w:topLinePunct w:val="0"/>
        <w:autoSpaceDE/>
        <w:autoSpaceDN/>
        <w:bidi w:val="0"/>
        <w:adjustRightInd/>
        <w:snapToGrid/>
        <w:ind w:firstLine="560" w:firstLineChars="200"/>
        <w:textAlignment w:val="auto"/>
        <w:rPr>
          <w:rFonts w:hint="eastAsia"/>
          <w:lang w:val="en-US" w:eastAsia="zh-CN"/>
        </w:rPr>
      </w:pPr>
      <w:r>
        <w:rPr>
          <w:rFonts w:hint="eastAsia"/>
          <w:lang w:val="en-US" w:eastAsia="zh-CN"/>
        </w:rPr>
        <w:t>展望未来，我们将继续秉持“诚信、创新、责任、共赢”的价值观，携手各方伙伴，为可持续发展与美好社会贡献力量。</w:t>
      </w:r>
    </w:p>
    <w:sectPr>
      <w:footerReference r:id="rId3"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Segoe UI">
    <w:panose1 w:val="020B05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194F9A">
    <w:pPr>
      <w:pStyle w:val="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0B5A06">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220B5A06">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E99710"/>
    <w:multiLevelType w:val="singleLevel"/>
    <w:tmpl w:val="E7E99710"/>
    <w:lvl w:ilvl="0" w:tentative="0">
      <w:start w:val="6"/>
      <w:numFmt w:val="chineseCounting"/>
      <w:suff w:val="nothing"/>
      <w:lvlText w:val="%1、"/>
      <w:lvlJc w:val="left"/>
      <w:rPr>
        <w:rFonts w:hint="eastAsia"/>
      </w:rPr>
    </w:lvl>
  </w:abstractNum>
  <w:abstractNum w:abstractNumId="1">
    <w:nsid w:val="09C00F31"/>
    <w:multiLevelType w:val="singleLevel"/>
    <w:tmpl w:val="09C00F31"/>
    <w:lvl w:ilvl="0" w:tentative="0">
      <w:start w:val="11"/>
      <w:numFmt w:val="chineseCounting"/>
      <w:suff w:val="nothing"/>
      <w:lvlText w:val="%1、"/>
      <w:lvlJc w:val="left"/>
      <w:rPr>
        <w:rFonts w:hint="eastAsia"/>
      </w:rPr>
    </w:lvl>
  </w:abstractNum>
  <w:abstractNum w:abstractNumId="2">
    <w:nsid w:val="3902D548"/>
    <w:multiLevelType w:val="singleLevel"/>
    <w:tmpl w:val="3902D548"/>
    <w:lvl w:ilvl="0" w:tentative="0">
      <w:start w:val="3"/>
      <w:numFmt w:val="chineseCounting"/>
      <w:suff w:val="nothing"/>
      <w:lvlText w:val="%1、"/>
      <w:lvlJc w:val="left"/>
      <w:rPr>
        <w:rFonts w:hint="eastAsia"/>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2"/>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4265F24"/>
    <w:rsid w:val="00501EE6"/>
    <w:rsid w:val="00F431B9"/>
    <w:rsid w:val="01B82438"/>
    <w:rsid w:val="01CA216C"/>
    <w:rsid w:val="02117D9A"/>
    <w:rsid w:val="0227136C"/>
    <w:rsid w:val="02B726F0"/>
    <w:rsid w:val="02C10E79"/>
    <w:rsid w:val="03231B33"/>
    <w:rsid w:val="033C0E47"/>
    <w:rsid w:val="03936CB9"/>
    <w:rsid w:val="03D1333D"/>
    <w:rsid w:val="04265F24"/>
    <w:rsid w:val="04B52C5F"/>
    <w:rsid w:val="04CE3D21"/>
    <w:rsid w:val="05092FAB"/>
    <w:rsid w:val="052E656D"/>
    <w:rsid w:val="055C132D"/>
    <w:rsid w:val="056F2E0E"/>
    <w:rsid w:val="0575419C"/>
    <w:rsid w:val="05B72A07"/>
    <w:rsid w:val="06163BD1"/>
    <w:rsid w:val="06622973"/>
    <w:rsid w:val="068428E9"/>
    <w:rsid w:val="0696086E"/>
    <w:rsid w:val="06BF7DC5"/>
    <w:rsid w:val="06C278B5"/>
    <w:rsid w:val="06C673A5"/>
    <w:rsid w:val="0730481F"/>
    <w:rsid w:val="07707311"/>
    <w:rsid w:val="07866B35"/>
    <w:rsid w:val="07950B26"/>
    <w:rsid w:val="07A46E5E"/>
    <w:rsid w:val="07B216D8"/>
    <w:rsid w:val="08752E31"/>
    <w:rsid w:val="087846CF"/>
    <w:rsid w:val="08964B56"/>
    <w:rsid w:val="08AC72B8"/>
    <w:rsid w:val="08EE04EE"/>
    <w:rsid w:val="090D25F9"/>
    <w:rsid w:val="09304FAA"/>
    <w:rsid w:val="09BB0D18"/>
    <w:rsid w:val="09DF42DA"/>
    <w:rsid w:val="09E638BB"/>
    <w:rsid w:val="0A1026E6"/>
    <w:rsid w:val="0A252635"/>
    <w:rsid w:val="0A4353F5"/>
    <w:rsid w:val="0A621193"/>
    <w:rsid w:val="0A6A44EC"/>
    <w:rsid w:val="0AE4604C"/>
    <w:rsid w:val="0B0F299D"/>
    <w:rsid w:val="0B27418B"/>
    <w:rsid w:val="0B5F3883"/>
    <w:rsid w:val="0B756CA4"/>
    <w:rsid w:val="0B9A695A"/>
    <w:rsid w:val="0BB377CC"/>
    <w:rsid w:val="0BC1013B"/>
    <w:rsid w:val="0C3F6E11"/>
    <w:rsid w:val="0C474AE5"/>
    <w:rsid w:val="0CCE0D62"/>
    <w:rsid w:val="0CFA1B57"/>
    <w:rsid w:val="0D3A01A5"/>
    <w:rsid w:val="0D4C1C87"/>
    <w:rsid w:val="0D906017"/>
    <w:rsid w:val="0D9F565B"/>
    <w:rsid w:val="0E1C78AB"/>
    <w:rsid w:val="0E440BB0"/>
    <w:rsid w:val="0E522717"/>
    <w:rsid w:val="0EA87391"/>
    <w:rsid w:val="0EB977F0"/>
    <w:rsid w:val="0F380715"/>
    <w:rsid w:val="0F563291"/>
    <w:rsid w:val="0F5D461F"/>
    <w:rsid w:val="0F876D07"/>
    <w:rsid w:val="0F9A13CF"/>
    <w:rsid w:val="0FB57FB7"/>
    <w:rsid w:val="0FF07241"/>
    <w:rsid w:val="0FFE570A"/>
    <w:rsid w:val="10437371"/>
    <w:rsid w:val="10534754"/>
    <w:rsid w:val="1068327B"/>
    <w:rsid w:val="107B2E92"/>
    <w:rsid w:val="10A36062"/>
    <w:rsid w:val="10B4201D"/>
    <w:rsid w:val="10CF50A9"/>
    <w:rsid w:val="10D206F5"/>
    <w:rsid w:val="110E5BD1"/>
    <w:rsid w:val="11AE1162"/>
    <w:rsid w:val="11B5429E"/>
    <w:rsid w:val="11CE710E"/>
    <w:rsid w:val="11CF5B2D"/>
    <w:rsid w:val="11E64458"/>
    <w:rsid w:val="11EB5F12"/>
    <w:rsid w:val="122414A1"/>
    <w:rsid w:val="126F4193"/>
    <w:rsid w:val="129640D0"/>
    <w:rsid w:val="130152C1"/>
    <w:rsid w:val="132C0590"/>
    <w:rsid w:val="13516249"/>
    <w:rsid w:val="139323BD"/>
    <w:rsid w:val="13D11138"/>
    <w:rsid w:val="13DA7FEC"/>
    <w:rsid w:val="142474B9"/>
    <w:rsid w:val="142B0848"/>
    <w:rsid w:val="1483101F"/>
    <w:rsid w:val="14A5684C"/>
    <w:rsid w:val="14AE3227"/>
    <w:rsid w:val="14C8253B"/>
    <w:rsid w:val="14E756D6"/>
    <w:rsid w:val="150317C5"/>
    <w:rsid w:val="15107AFF"/>
    <w:rsid w:val="158F3058"/>
    <w:rsid w:val="1594241D"/>
    <w:rsid w:val="15C54CCC"/>
    <w:rsid w:val="15FD6214"/>
    <w:rsid w:val="16227A29"/>
    <w:rsid w:val="163D0D06"/>
    <w:rsid w:val="16783AEC"/>
    <w:rsid w:val="17365E81"/>
    <w:rsid w:val="173B6FF4"/>
    <w:rsid w:val="17457E73"/>
    <w:rsid w:val="17571954"/>
    <w:rsid w:val="1776627E"/>
    <w:rsid w:val="17AC1CA0"/>
    <w:rsid w:val="17BE7C25"/>
    <w:rsid w:val="17D9680D"/>
    <w:rsid w:val="17E23913"/>
    <w:rsid w:val="17F92A0B"/>
    <w:rsid w:val="18016BC3"/>
    <w:rsid w:val="180E508C"/>
    <w:rsid w:val="184B14B9"/>
    <w:rsid w:val="18561C0B"/>
    <w:rsid w:val="18622CA6"/>
    <w:rsid w:val="18AE1A47"/>
    <w:rsid w:val="18AE37F5"/>
    <w:rsid w:val="18CE3E98"/>
    <w:rsid w:val="19520625"/>
    <w:rsid w:val="19805192"/>
    <w:rsid w:val="199C5D44"/>
    <w:rsid w:val="19AA0461"/>
    <w:rsid w:val="19D67B51"/>
    <w:rsid w:val="1A004525"/>
    <w:rsid w:val="1A0E09F0"/>
    <w:rsid w:val="1A6E148E"/>
    <w:rsid w:val="1A8B64E4"/>
    <w:rsid w:val="1AA555D5"/>
    <w:rsid w:val="1B4B7A22"/>
    <w:rsid w:val="1B6D7998"/>
    <w:rsid w:val="1BEA2D97"/>
    <w:rsid w:val="1C330BE1"/>
    <w:rsid w:val="1C36422E"/>
    <w:rsid w:val="1CAB69CA"/>
    <w:rsid w:val="1CE95744"/>
    <w:rsid w:val="1CEE2D5A"/>
    <w:rsid w:val="1DB93368"/>
    <w:rsid w:val="1DCD2970"/>
    <w:rsid w:val="1DD51824"/>
    <w:rsid w:val="1DE2466D"/>
    <w:rsid w:val="1E796654"/>
    <w:rsid w:val="1F100D66"/>
    <w:rsid w:val="1F325180"/>
    <w:rsid w:val="1F5548E2"/>
    <w:rsid w:val="1F6115C2"/>
    <w:rsid w:val="1FB42039"/>
    <w:rsid w:val="1FCD4EA9"/>
    <w:rsid w:val="1FDE2C12"/>
    <w:rsid w:val="1FE741BD"/>
    <w:rsid w:val="1FF93EF0"/>
    <w:rsid w:val="2000702C"/>
    <w:rsid w:val="200308CB"/>
    <w:rsid w:val="201E5705"/>
    <w:rsid w:val="202076CF"/>
    <w:rsid w:val="20234AC9"/>
    <w:rsid w:val="20474C5B"/>
    <w:rsid w:val="204D7D98"/>
    <w:rsid w:val="205253AE"/>
    <w:rsid w:val="2071686E"/>
    <w:rsid w:val="20E34258"/>
    <w:rsid w:val="212154AC"/>
    <w:rsid w:val="213F1DD6"/>
    <w:rsid w:val="217D46AD"/>
    <w:rsid w:val="21D95D87"/>
    <w:rsid w:val="22327245"/>
    <w:rsid w:val="22386D48"/>
    <w:rsid w:val="227E248B"/>
    <w:rsid w:val="229677D4"/>
    <w:rsid w:val="22A939AB"/>
    <w:rsid w:val="22C207DB"/>
    <w:rsid w:val="22D402FC"/>
    <w:rsid w:val="22E03145"/>
    <w:rsid w:val="2322550C"/>
    <w:rsid w:val="23B24AE2"/>
    <w:rsid w:val="24280900"/>
    <w:rsid w:val="2479115B"/>
    <w:rsid w:val="248B0E8F"/>
    <w:rsid w:val="24C543A1"/>
    <w:rsid w:val="25162E4E"/>
    <w:rsid w:val="2519649B"/>
    <w:rsid w:val="25697422"/>
    <w:rsid w:val="258C3110"/>
    <w:rsid w:val="259A3A7F"/>
    <w:rsid w:val="25EB7E37"/>
    <w:rsid w:val="269C7383"/>
    <w:rsid w:val="26AB75C6"/>
    <w:rsid w:val="271E248E"/>
    <w:rsid w:val="275B0FEC"/>
    <w:rsid w:val="27D112AE"/>
    <w:rsid w:val="288527C5"/>
    <w:rsid w:val="288E0F4E"/>
    <w:rsid w:val="289C5AAF"/>
    <w:rsid w:val="28A10C81"/>
    <w:rsid w:val="28F039B6"/>
    <w:rsid w:val="2936586D"/>
    <w:rsid w:val="294011B3"/>
    <w:rsid w:val="2976210D"/>
    <w:rsid w:val="29A46C7B"/>
    <w:rsid w:val="29C51745"/>
    <w:rsid w:val="29D07A70"/>
    <w:rsid w:val="29E96D83"/>
    <w:rsid w:val="2A1A6F3D"/>
    <w:rsid w:val="2A2A1727"/>
    <w:rsid w:val="2AFC6642"/>
    <w:rsid w:val="2B033E75"/>
    <w:rsid w:val="2B053749"/>
    <w:rsid w:val="2B1240B8"/>
    <w:rsid w:val="2B724A18"/>
    <w:rsid w:val="2BAB5F3B"/>
    <w:rsid w:val="2BB533C1"/>
    <w:rsid w:val="2BD1187D"/>
    <w:rsid w:val="2BDD46C6"/>
    <w:rsid w:val="2BDF773B"/>
    <w:rsid w:val="2C2B5431"/>
    <w:rsid w:val="2C494DF9"/>
    <w:rsid w:val="2C4D6197"/>
    <w:rsid w:val="2C550700"/>
    <w:rsid w:val="2C624BCB"/>
    <w:rsid w:val="2C7566AC"/>
    <w:rsid w:val="2CC118F2"/>
    <w:rsid w:val="2D236108"/>
    <w:rsid w:val="2D940DB4"/>
    <w:rsid w:val="2DA52FC1"/>
    <w:rsid w:val="2DBB4593"/>
    <w:rsid w:val="2DD37B2E"/>
    <w:rsid w:val="2DDF4725"/>
    <w:rsid w:val="2E283EF2"/>
    <w:rsid w:val="2E3507E9"/>
    <w:rsid w:val="2E84497F"/>
    <w:rsid w:val="2E862DF3"/>
    <w:rsid w:val="2E894691"/>
    <w:rsid w:val="2EBA2A9C"/>
    <w:rsid w:val="2ECA6FF3"/>
    <w:rsid w:val="2EDA6C9B"/>
    <w:rsid w:val="2F104DB2"/>
    <w:rsid w:val="2F2D3E72"/>
    <w:rsid w:val="2F725125"/>
    <w:rsid w:val="2F911A4F"/>
    <w:rsid w:val="30D50061"/>
    <w:rsid w:val="30E43E01"/>
    <w:rsid w:val="30E81B43"/>
    <w:rsid w:val="31701B38"/>
    <w:rsid w:val="318D4498"/>
    <w:rsid w:val="319E0453"/>
    <w:rsid w:val="31B163D9"/>
    <w:rsid w:val="31BB7257"/>
    <w:rsid w:val="31CF4AB1"/>
    <w:rsid w:val="31EF6F01"/>
    <w:rsid w:val="31F2079F"/>
    <w:rsid w:val="320A5AE9"/>
    <w:rsid w:val="323D7C6C"/>
    <w:rsid w:val="3253123E"/>
    <w:rsid w:val="32537490"/>
    <w:rsid w:val="326571C3"/>
    <w:rsid w:val="32CB34CA"/>
    <w:rsid w:val="32D0288E"/>
    <w:rsid w:val="32FA790B"/>
    <w:rsid w:val="333170A5"/>
    <w:rsid w:val="3337290D"/>
    <w:rsid w:val="334B63B9"/>
    <w:rsid w:val="335E433E"/>
    <w:rsid w:val="338673F1"/>
    <w:rsid w:val="3390201E"/>
    <w:rsid w:val="33B514D1"/>
    <w:rsid w:val="33BC2E13"/>
    <w:rsid w:val="33D068BE"/>
    <w:rsid w:val="34403A44"/>
    <w:rsid w:val="345179FF"/>
    <w:rsid w:val="349D2C44"/>
    <w:rsid w:val="34BB756E"/>
    <w:rsid w:val="34C226AB"/>
    <w:rsid w:val="34C46423"/>
    <w:rsid w:val="34D707E7"/>
    <w:rsid w:val="3522139B"/>
    <w:rsid w:val="354D6418"/>
    <w:rsid w:val="35EF74CF"/>
    <w:rsid w:val="36201D7F"/>
    <w:rsid w:val="363D0446"/>
    <w:rsid w:val="36421CF5"/>
    <w:rsid w:val="366E68DA"/>
    <w:rsid w:val="36C26992"/>
    <w:rsid w:val="36C344B8"/>
    <w:rsid w:val="36D05553"/>
    <w:rsid w:val="3709636F"/>
    <w:rsid w:val="37873738"/>
    <w:rsid w:val="37A367C3"/>
    <w:rsid w:val="37AB1B1C"/>
    <w:rsid w:val="37C05E7A"/>
    <w:rsid w:val="37C30C14"/>
    <w:rsid w:val="37EF1A09"/>
    <w:rsid w:val="381274A5"/>
    <w:rsid w:val="38896846"/>
    <w:rsid w:val="38AA1DD4"/>
    <w:rsid w:val="393578EF"/>
    <w:rsid w:val="394E2737"/>
    <w:rsid w:val="395104A1"/>
    <w:rsid w:val="39D2513E"/>
    <w:rsid w:val="3A39340F"/>
    <w:rsid w:val="3AA60379"/>
    <w:rsid w:val="3AF47336"/>
    <w:rsid w:val="3B0752BD"/>
    <w:rsid w:val="3B11613A"/>
    <w:rsid w:val="3B196D9D"/>
    <w:rsid w:val="3B3140E6"/>
    <w:rsid w:val="3B7A3CDF"/>
    <w:rsid w:val="3B842468"/>
    <w:rsid w:val="3BE850ED"/>
    <w:rsid w:val="3BF770DE"/>
    <w:rsid w:val="3C0D06AF"/>
    <w:rsid w:val="3C110554"/>
    <w:rsid w:val="3C1F6635"/>
    <w:rsid w:val="3C2D6FA3"/>
    <w:rsid w:val="3C4B11D8"/>
    <w:rsid w:val="3C862210"/>
    <w:rsid w:val="3CB11983"/>
    <w:rsid w:val="3CDE029E"/>
    <w:rsid w:val="3CED43DE"/>
    <w:rsid w:val="3D006466"/>
    <w:rsid w:val="3D251A29"/>
    <w:rsid w:val="3D2773D6"/>
    <w:rsid w:val="3D85696B"/>
    <w:rsid w:val="3DC76F84"/>
    <w:rsid w:val="3E014244"/>
    <w:rsid w:val="3E23240C"/>
    <w:rsid w:val="3E287A22"/>
    <w:rsid w:val="3E612F34"/>
    <w:rsid w:val="3E66054B"/>
    <w:rsid w:val="3ED167FC"/>
    <w:rsid w:val="3EED2A1A"/>
    <w:rsid w:val="3F0F2990"/>
    <w:rsid w:val="3F850EA5"/>
    <w:rsid w:val="3FA94B93"/>
    <w:rsid w:val="3FCE0156"/>
    <w:rsid w:val="3FDB0AC5"/>
    <w:rsid w:val="3FE23C01"/>
    <w:rsid w:val="3FF37BBC"/>
    <w:rsid w:val="4021297B"/>
    <w:rsid w:val="40251D40"/>
    <w:rsid w:val="40275AB8"/>
    <w:rsid w:val="40281367"/>
    <w:rsid w:val="408E7CE2"/>
    <w:rsid w:val="40955117"/>
    <w:rsid w:val="40A13ABC"/>
    <w:rsid w:val="40ED0AAF"/>
    <w:rsid w:val="411249BA"/>
    <w:rsid w:val="4162324B"/>
    <w:rsid w:val="416C5E78"/>
    <w:rsid w:val="41A27F5D"/>
    <w:rsid w:val="41AF3FB7"/>
    <w:rsid w:val="41D72F41"/>
    <w:rsid w:val="42075BA1"/>
    <w:rsid w:val="422624CB"/>
    <w:rsid w:val="423170C2"/>
    <w:rsid w:val="42530DE6"/>
    <w:rsid w:val="42674891"/>
    <w:rsid w:val="426C3C56"/>
    <w:rsid w:val="42E61C5A"/>
    <w:rsid w:val="42ED4D97"/>
    <w:rsid w:val="431F6F1A"/>
    <w:rsid w:val="433C7ACC"/>
    <w:rsid w:val="43430E5B"/>
    <w:rsid w:val="43707776"/>
    <w:rsid w:val="439711A6"/>
    <w:rsid w:val="43AF0144"/>
    <w:rsid w:val="442206C0"/>
    <w:rsid w:val="44272F23"/>
    <w:rsid w:val="442C7B41"/>
    <w:rsid w:val="44354C47"/>
    <w:rsid w:val="444C01E3"/>
    <w:rsid w:val="44BD69EB"/>
    <w:rsid w:val="45091C30"/>
    <w:rsid w:val="454B2248"/>
    <w:rsid w:val="456357E4"/>
    <w:rsid w:val="45765517"/>
    <w:rsid w:val="464A499A"/>
    <w:rsid w:val="46756273"/>
    <w:rsid w:val="46935C55"/>
    <w:rsid w:val="469F284C"/>
    <w:rsid w:val="47171988"/>
    <w:rsid w:val="47431429"/>
    <w:rsid w:val="47561677"/>
    <w:rsid w:val="476F0470"/>
    <w:rsid w:val="480C5CBF"/>
    <w:rsid w:val="48515DC8"/>
    <w:rsid w:val="488C5052"/>
    <w:rsid w:val="48CC36A0"/>
    <w:rsid w:val="48F86243"/>
    <w:rsid w:val="49005572"/>
    <w:rsid w:val="495001EE"/>
    <w:rsid w:val="496613DA"/>
    <w:rsid w:val="49787384"/>
    <w:rsid w:val="49926698"/>
    <w:rsid w:val="499441BE"/>
    <w:rsid w:val="49995264"/>
    <w:rsid w:val="49BC3715"/>
    <w:rsid w:val="49C10D2B"/>
    <w:rsid w:val="49C36AE6"/>
    <w:rsid w:val="49CD76D0"/>
    <w:rsid w:val="4A007AA5"/>
    <w:rsid w:val="4A7F4E6E"/>
    <w:rsid w:val="4A995804"/>
    <w:rsid w:val="4AA2290B"/>
    <w:rsid w:val="4ACD6225"/>
    <w:rsid w:val="4AE01685"/>
    <w:rsid w:val="4B9D30D2"/>
    <w:rsid w:val="4BF929FE"/>
    <w:rsid w:val="4C261319"/>
    <w:rsid w:val="4C4023DB"/>
    <w:rsid w:val="4C4A5008"/>
    <w:rsid w:val="4C545E87"/>
    <w:rsid w:val="4C5B0FC3"/>
    <w:rsid w:val="4C742085"/>
    <w:rsid w:val="4C771B75"/>
    <w:rsid w:val="4CA23096"/>
    <w:rsid w:val="4CDE39A2"/>
    <w:rsid w:val="4D7D31BB"/>
    <w:rsid w:val="4D826A23"/>
    <w:rsid w:val="4DCD5EF0"/>
    <w:rsid w:val="4DE66FB2"/>
    <w:rsid w:val="4E0538DC"/>
    <w:rsid w:val="4E086F29"/>
    <w:rsid w:val="4E094A4F"/>
    <w:rsid w:val="4EAD5D22"/>
    <w:rsid w:val="4F0E67C1"/>
    <w:rsid w:val="4F3B50DC"/>
    <w:rsid w:val="4F3C3EF2"/>
    <w:rsid w:val="4F6A76D8"/>
    <w:rsid w:val="4F6A776F"/>
    <w:rsid w:val="4FDD6193"/>
    <w:rsid w:val="500876B4"/>
    <w:rsid w:val="50354221"/>
    <w:rsid w:val="505E04E8"/>
    <w:rsid w:val="50A867A1"/>
    <w:rsid w:val="50C80BF1"/>
    <w:rsid w:val="50CC06E1"/>
    <w:rsid w:val="50DD28EE"/>
    <w:rsid w:val="51256043"/>
    <w:rsid w:val="512651A9"/>
    <w:rsid w:val="520E0886"/>
    <w:rsid w:val="523522B6"/>
    <w:rsid w:val="524D13AE"/>
    <w:rsid w:val="52D25D57"/>
    <w:rsid w:val="532365B3"/>
    <w:rsid w:val="535A6478"/>
    <w:rsid w:val="537868FE"/>
    <w:rsid w:val="53874D93"/>
    <w:rsid w:val="541303D5"/>
    <w:rsid w:val="54482775"/>
    <w:rsid w:val="54484523"/>
    <w:rsid w:val="544E58B1"/>
    <w:rsid w:val="54857525"/>
    <w:rsid w:val="54B716A8"/>
    <w:rsid w:val="54DA7145"/>
    <w:rsid w:val="55006BAB"/>
    <w:rsid w:val="552D196B"/>
    <w:rsid w:val="554F7B33"/>
    <w:rsid w:val="5560764A"/>
    <w:rsid w:val="55872E29"/>
    <w:rsid w:val="558D41B7"/>
    <w:rsid w:val="55D11F9A"/>
    <w:rsid w:val="55EA0E79"/>
    <w:rsid w:val="56101070"/>
    <w:rsid w:val="56B0015D"/>
    <w:rsid w:val="56D007FF"/>
    <w:rsid w:val="57521214"/>
    <w:rsid w:val="576176AA"/>
    <w:rsid w:val="57664CC0"/>
    <w:rsid w:val="577675F9"/>
    <w:rsid w:val="578A4E52"/>
    <w:rsid w:val="57B123DF"/>
    <w:rsid w:val="57C57C38"/>
    <w:rsid w:val="580469B3"/>
    <w:rsid w:val="58360B36"/>
    <w:rsid w:val="586631C9"/>
    <w:rsid w:val="58B24661"/>
    <w:rsid w:val="58C63C68"/>
    <w:rsid w:val="58CB74D0"/>
    <w:rsid w:val="59527BF2"/>
    <w:rsid w:val="59594ADC"/>
    <w:rsid w:val="599C2C1B"/>
    <w:rsid w:val="59C75EEA"/>
    <w:rsid w:val="59FD190B"/>
    <w:rsid w:val="5AEA168C"/>
    <w:rsid w:val="5B060C94"/>
    <w:rsid w:val="5B1708CA"/>
    <w:rsid w:val="5BCD1769"/>
    <w:rsid w:val="5C0A6562"/>
    <w:rsid w:val="5C1E5B2C"/>
    <w:rsid w:val="5C593045"/>
    <w:rsid w:val="5C657C3C"/>
    <w:rsid w:val="5C7F72A3"/>
    <w:rsid w:val="5C8C341B"/>
    <w:rsid w:val="5C98591B"/>
    <w:rsid w:val="5CA40764"/>
    <w:rsid w:val="5CB87D6C"/>
    <w:rsid w:val="5CDA4186"/>
    <w:rsid w:val="5CE62B2B"/>
    <w:rsid w:val="5CF76AE6"/>
    <w:rsid w:val="5D121B72"/>
    <w:rsid w:val="5D35760E"/>
    <w:rsid w:val="5D5A7075"/>
    <w:rsid w:val="5D651B36"/>
    <w:rsid w:val="5D79399F"/>
    <w:rsid w:val="5DBF1DAF"/>
    <w:rsid w:val="5DD12AEC"/>
    <w:rsid w:val="5DE30E18"/>
    <w:rsid w:val="5DEA03F9"/>
    <w:rsid w:val="5E280F21"/>
    <w:rsid w:val="5E4F64AE"/>
    <w:rsid w:val="5E56783C"/>
    <w:rsid w:val="5EB153BA"/>
    <w:rsid w:val="5EB17168"/>
    <w:rsid w:val="5EC92704"/>
    <w:rsid w:val="5FEE499C"/>
    <w:rsid w:val="5FFC08B7"/>
    <w:rsid w:val="601C6864"/>
    <w:rsid w:val="60255718"/>
    <w:rsid w:val="6051475F"/>
    <w:rsid w:val="60A52CFD"/>
    <w:rsid w:val="616E30EF"/>
    <w:rsid w:val="61BF7DEE"/>
    <w:rsid w:val="61EF2482"/>
    <w:rsid w:val="62092E18"/>
    <w:rsid w:val="621A5025"/>
    <w:rsid w:val="62B47227"/>
    <w:rsid w:val="62D84CC4"/>
    <w:rsid w:val="63035AB9"/>
    <w:rsid w:val="636B5B38"/>
    <w:rsid w:val="6417181C"/>
    <w:rsid w:val="644959AA"/>
    <w:rsid w:val="64970BAF"/>
    <w:rsid w:val="64B23F99"/>
    <w:rsid w:val="64B33C3A"/>
    <w:rsid w:val="64EC2CA8"/>
    <w:rsid w:val="653B778C"/>
    <w:rsid w:val="65905D2A"/>
    <w:rsid w:val="65F31E15"/>
    <w:rsid w:val="661029C7"/>
    <w:rsid w:val="66140709"/>
    <w:rsid w:val="66434B4A"/>
    <w:rsid w:val="665C267F"/>
    <w:rsid w:val="6692162D"/>
    <w:rsid w:val="669453A6"/>
    <w:rsid w:val="66B5531C"/>
    <w:rsid w:val="66DC6D4D"/>
    <w:rsid w:val="67236729"/>
    <w:rsid w:val="673646AF"/>
    <w:rsid w:val="674A63AC"/>
    <w:rsid w:val="67CE0D8B"/>
    <w:rsid w:val="68126ECA"/>
    <w:rsid w:val="68680898"/>
    <w:rsid w:val="686D4100"/>
    <w:rsid w:val="687A681D"/>
    <w:rsid w:val="68914293"/>
    <w:rsid w:val="689A2A1B"/>
    <w:rsid w:val="689E250C"/>
    <w:rsid w:val="68A65864"/>
    <w:rsid w:val="68E85E7D"/>
    <w:rsid w:val="693C671A"/>
    <w:rsid w:val="694A61EF"/>
    <w:rsid w:val="69A32AE1"/>
    <w:rsid w:val="69B8584F"/>
    <w:rsid w:val="69C53AC8"/>
    <w:rsid w:val="6A050368"/>
    <w:rsid w:val="6A0E36C1"/>
    <w:rsid w:val="6A4B66C3"/>
    <w:rsid w:val="6A786D8C"/>
    <w:rsid w:val="6A9811DC"/>
    <w:rsid w:val="6AED777A"/>
    <w:rsid w:val="6B064398"/>
    <w:rsid w:val="6B0F149F"/>
    <w:rsid w:val="6B252A70"/>
    <w:rsid w:val="6B3E3B32"/>
    <w:rsid w:val="6B517D09"/>
    <w:rsid w:val="6B76151E"/>
    <w:rsid w:val="6B8401BB"/>
    <w:rsid w:val="6BCE3108"/>
    <w:rsid w:val="6C16685D"/>
    <w:rsid w:val="6C5D448C"/>
    <w:rsid w:val="6C615D2A"/>
    <w:rsid w:val="6CA45FB9"/>
    <w:rsid w:val="6CB87914"/>
    <w:rsid w:val="6CD75FEC"/>
    <w:rsid w:val="6CDC1854"/>
    <w:rsid w:val="6D2D20B0"/>
    <w:rsid w:val="6D7D4DE5"/>
    <w:rsid w:val="6D9B2006"/>
    <w:rsid w:val="6DB4632D"/>
    <w:rsid w:val="6DC742B3"/>
    <w:rsid w:val="6DEE5CE3"/>
    <w:rsid w:val="6E0D6AD9"/>
    <w:rsid w:val="6E1312A6"/>
    <w:rsid w:val="6E313E22"/>
    <w:rsid w:val="6E5D69C5"/>
    <w:rsid w:val="6E8757F0"/>
    <w:rsid w:val="6E8977BA"/>
    <w:rsid w:val="6F190B3E"/>
    <w:rsid w:val="6F40431D"/>
    <w:rsid w:val="6FD44A65"/>
    <w:rsid w:val="6FDC26F4"/>
    <w:rsid w:val="6FF60E7F"/>
    <w:rsid w:val="706E310B"/>
    <w:rsid w:val="70B54896"/>
    <w:rsid w:val="70BA00FF"/>
    <w:rsid w:val="71080E6A"/>
    <w:rsid w:val="71357785"/>
    <w:rsid w:val="71467BE4"/>
    <w:rsid w:val="717B6263"/>
    <w:rsid w:val="71864485"/>
    <w:rsid w:val="71AD31A9"/>
    <w:rsid w:val="72721ECF"/>
    <w:rsid w:val="727367B7"/>
    <w:rsid w:val="728D3C57"/>
    <w:rsid w:val="72916C3D"/>
    <w:rsid w:val="72A252EE"/>
    <w:rsid w:val="73614861"/>
    <w:rsid w:val="736D76AA"/>
    <w:rsid w:val="73796CBD"/>
    <w:rsid w:val="73830C7C"/>
    <w:rsid w:val="739F35DC"/>
    <w:rsid w:val="73E6120B"/>
    <w:rsid w:val="73EA0CFB"/>
    <w:rsid w:val="740B2A1F"/>
    <w:rsid w:val="74575C64"/>
    <w:rsid w:val="74650381"/>
    <w:rsid w:val="74844CAB"/>
    <w:rsid w:val="74962C31"/>
    <w:rsid w:val="74A569D0"/>
    <w:rsid w:val="74B763DB"/>
    <w:rsid w:val="74D6127F"/>
    <w:rsid w:val="74EC45FF"/>
    <w:rsid w:val="75120509"/>
    <w:rsid w:val="75453248"/>
    <w:rsid w:val="759E1D9D"/>
    <w:rsid w:val="75B0387E"/>
    <w:rsid w:val="770B3462"/>
    <w:rsid w:val="770E2F52"/>
    <w:rsid w:val="771A5453"/>
    <w:rsid w:val="77244524"/>
    <w:rsid w:val="77530965"/>
    <w:rsid w:val="777D1E86"/>
    <w:rsid w:val="778C3E77"/>
    <w:rsid w:val="781F4CEB"/>
    <w:rsid w:val="78485FF0"/>
    <w:rsid w:val="78544995"/>
    <w:rsid w:val="786F4239"/>
    <w:rsid w:val="78911745"/>
    <w:rsid w:val="78C7160B"/>
    <w:rsid w:val="78CD4747"/>
    <w:rsid w:val="78DA7590"/>
    <w:rsid w:val="78E0447A"/>
    <w:rsid w:val="78F148D9"/>
    <w:rsid w:val="791B3704"/>
    <w:rsid w:val="79273E57"/>
    <w:rsid w:val="795B7FA5"/>
    <w:rsid w:val="79BF6786"/>
    <w:rsid w:val="7A2F56B9"/>
    <w:rsid w:val="7A7C01D3"/>
    <w:rsid w:val="7AEF6BF7"/>
    <w:rsid w:val="7B087CB8"/>
    <w:rsid w:val="7B820ADB"/>
    <w:rsid w:val="7BA93249"/>
    <w:rsid w:val="7BBD0AA3"/>
    <w:rsid w:val="7BC2430B"/>
    <w:rsid w:val="7C06069C"/>
    <w:rsid w:val="7C2A32C5"/>
    <w:rsid w:val="7C2D79D7"/>
    <w:rsid w:val="7C6D24C9"/>
    <w:rsid w:val="7C95557C"/>
    <w:rsid w:val="7CD442F6"/>
    <w:rsid w:val="7D1666BD"/>
    <w:rsid w:val="7D1B3CD3"/>
    <w:rsid w:val="7D4A47B2"/>
    <w:rsid w:val="7DB52379"/>
    <w:rsid w:val="7DBD122E"/>
    <w:rsid w:val="7DCF1BFE"/>
    <w:rsid w:val="7DD24CD9"/>
    <w:rsid w:val="7DF12C86"/>
    <w:rsid w:val="7E355268"/>
    <w:rsid w:val="7E3A63DB"/>
    <w:rsid w:val="7E3E411D"/>
    <w:rsid w:val="7EEF71C5"/>
    <w:rsid w:val="7F40317B"/>
    <w:rsid w:val="7F761695"/>
    <w:rsid w:val="7F8C710A"/>
    <w:rsid w:val="7F954211"/>
    <w:rsid w:val="7FCC7507"/>
    <w:rsid w:val="7FE707E4"/>
    <w:rsid w:val="7FF802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宋体" w:asciiTheme="minorAscii" w:hAnsiTheme="minorAscii" w:cstheme="minorBidi"/>
      <w:kern w:val="2"/>
      <w:sz w:val="28"/>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rFonts w:asciiTheme="minorAscii" w:hAnsiTheme="minorAscii"/>
      <w:b/>
      <w:kern w:val="44"/>
      <w:sz w:val="36"/>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paragraph" w:styleId="5">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character" w:default="1" w:styleId="12">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1"/>
    <w:basedOn w:val="1"/>
    <w:next w:val="1"/>
    <w:qFormat/>
    <w:uiPriority w:val="0"/>
  </w:style>
  <w:style w:type="paragraph" w:styleId="9">
    <w:name w:val="toc 2"/>
    <w:basedOn w:val="1"/>
    <w:next w:val="1"/>
    <w:qFormat/>
    <w:uiPriority w:val="0"/>
    <w:pPr>
      <w:ind w:left="420" w:leftChars="200"/>
    </w:p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character" w:styleId="13">
    <w:name w:val="Strong"/>
    <w:basedOn w:val="12"/>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23</Pages>
  <Words>7607</Words>
  <Characters>8122</Characters>
  <Lines>0</Lines>
  <Paragraphs>0</Paragraphs>
  <TotalTime>46</TotalTime>
  <ScaleCrop>false</ScaleCrop>
  <LinksUpToDate>false</LinksUpToDate>
  <CharactersWithSpaces>8293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2025-08-18T07:44:00Z</dcterms:created>
  <dc:creator>袁悦</dc:creator>
  <cp:lastModifiedBy>袁悦</cp:lastModifiedBy>
  <dcterms:modified xsi:type="dcterms:W3CDTF">2025-10-17T06:57:04Z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1A75139AEE164935B51B01BA6139ABD0_13</vt:lpwstr>
  </property>
  <property fmtid="{D5CDD505-2E9C-101B-9397-08002B2CF9AE}" pid="4" name="KSOTemplateDocerSaveRecord">
    <vt:lpwstr>eyJoZGlkIjoiYmEyZDMxNWRkYmY5MjE3NjUxYTk3ZDA1NDUyNmVkYWEiLCJ1c2VySWQiOiIxMjY5MzI0MzM4In0=</vt:lpwstr>
  </property>
</Properties>
</file>